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CE3E3" w14:textId="77777777" w:rsidR="00D84C2A" w:rsidRPr="00D84C2A" w:rsidRDefault="00D84C2A" w:rsidP="00D84C2A">
      <w:pPr>
        <w:spacing w:after="0" w:line="240" w:lineRule="auto"/>
        <w:jc w:val="both"/>
        <w:rPr>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IV Convención Científica Internacional de la Universidad de Cienfuegos.</w:t>
      </w:r>
    </w:p>
    <w:p w14:paraId="094F2F3E" w14:textId="77777777" w:rsidR="00D84C2A" w:rsidRPr="00D84C2A" w:rsidRDefault="00D84C2A" w:rsidP="00D84C2A">
      <w:pPr>
        <w:spacing w:after="0" w:line="240" w:lineRule="auto"/>
        <w:jc w:val="both"/>
        <w:rPr>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Eje temático: Gestión Empresarial, Desarrollo Local y Sostenibilidad.</w:t>
      </w:r>
    </w:p>
    <w:p w14:paraId="3DD424B5" w14:textId="32657401" w:rsidR="00D84C2A" w:rsidRPr="00D84C2A" w:rsidRDefault="00D84C2A" w:rsidP="00D84C2A">
      <w:pPr>
        <w:spacing w:after="0" w:line="240" w:lineRule="auto"/>
        <w:jc w:val="both"/>
        <w:rPr>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 xml:space="preserve">Título del trabajo: Importancia de </w:t>
      </w:r>
      <w:r w:rsidR="00024BD4">
        <w:rPr>
          <w:rFonts w:ascii="Arial" w:eastAsia="Times New Roman" w:hAnsi="Arial" w:cs="Arial"/>
          <w:b/>
          <w:bCs/>
          <w:kern w:val="36"/>
          <w:sz w:val="24"/>
          <w:szCs w:val="24"/>
          <w:lang w:eastAsia="es-CU"/>
        </w:rPr>
        <w:t>la</w:t>
      </w:r>
      <w:r w:rsidRPr="00D84C2A">
        <w:rPr>
          <w:rFonts w:ascii="Arial" w:eastAsia="Times New Roman" w:hAnsi="Arial" w:cs="Arial"/>
          <w:b/>
          <w:bCs/>
          <w:kern w:val="36"/>
          <w:sz w:val="24"/>
          <w:szCs w:val="24"/>
          <w:lang w:eastAsia="es-CU"/>
        </w:rPr>
        <w:t xml:space="preserve"> Gestión Prospectiv</w:t>
      </w:r>
      <w:r w:rsidR="00024BD4">
        <w:rPr>
          <w:rFonts w:ascii="Arial" w:eastAsia="Times New Roman" w:hAnsi="Arial" w:cs="Arial"/>
          <w:b/>
          <w:bCs/>
          <w:kern w:val="36"/>
          <w:sz w:val="24"/>
          <w:szCs w:val="24"/>
          <w:lang w:eastAsia="es-CU"/>
        </w:rPr>
        <w:t>a</w:t>
      </w:r>
      <w:r w:rsidRPr="00D84C2A">
        <w:rPr>
          <w:rFonts w:ascii="Arial" w:eastAsia="Times New Roman" w:hAnsi="Arial" w:cs="Arial"/>
          <w:b/>
          <w:bCs/>
          <w:kern w:val="36"/>
          <w:sz w:val="24"/>
          <w:szCs w:val="24"/>
          <w:lang w:eastAsia="es-CU"/>
        </w:rPr>
        <w:t xml:space="preserve"> basad</w:t>
      </w:r>
      <w:r w:rsidR="00024BD4">
        <w:rPr>
          <w:rFonts w:ascii="Arial" w:eastAsia="Times New Roman" w:hAnsi="Arial" w:cs="Arial"/>
          <w:b/>
          <w:bCs/>
          <w:kern w:val="36"/>
          <w:sz w:val="24"/>
          <w:szCs w:val="24"/>
          <w:lang w:eastAsia="es-CU"/>
        </w:rPr>
        <w:t>a</w:t>
      </w:r>
      <w:r w:rsidRPr="00D84C2A">
        <w:rPr>
          <w:rFonts w:ascii="Arial" w:eastAsia="Times New Roman" w:hAnsi="Arial" w:cs="Arial"/>
          <w:b/>
          <w:bCs/>
          <w:kern w:val="36"/>
          <w:sz w:val="24"/>
          <w:szCs w:val="24"/>
          <w:lang w:eastAsia="es-CU"/>
        </w:rPr>
        <w:t xml:space="preserve"> en Ciencia de Datos para la construcción de Escenarios Municipales.</w:t>
      </w:r>
    </w:p>
    <w:p w14:paraId="0E9113A8" w14:textId="77777777" w:rsidR="00D84C2A" w:rsidRPr="00D84C2A" w:rsidRDefault="00D84C2A" w:rsidP="00D84C2A">
      <w:pPr>
        <w:spacing w:after="0" w:line="240" w:lineRule="auto"/>
        <w:jc w:val="both"/>
        <w:rPr>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 xml:space="preserve">Autor principal: Msc. Yaima Sarría Pablo. Universidad de Cienfuegos. Cuba. Correo: </w:t>
      </w:r>
      <w:hyperlink r:id="rId5" w:history="1">
        <w:r w:rsidRPr="00D84C2A">
          <w:rPr>
            <w:rStyle w:val="Hipervnculo"/>
            <w:rFonts w:ascii="Arial" w:eastAsia="Times New Roman" w:hAnsi="Arial" w:cs="Arial"/>
            <w:b/>
            <w:bCs/>
            <w:kern w:val="36"/>
            <w:sz w:val="24"/>
            <w:szCs w:val="24"/>
            <w:lang w:eastAsia="es-CU"/>
          </w:rPr>
          <w:t>ysarria@ucf.edu.cu</w:t>
        </w:r>
      </w:hyperlink>
    </w:p>
    <w:p w14:paraId="6EABCB67" w14:textId="77777777" w:rsidR="00D84C2A" w:rsidRPr="00D84C2A" w:rsidRDefault="00D84C2A" w:rsidP="00D84C2A">
      <w:pPr>
        <w:spacing w:after="0" w:line="240" w:lineRule="auto"/>
        <w:jc w:val="both"/>
        <w:rPr>
          <w:rStyle w:val="Hipervnculo"/>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 xml:space="preserve">Coautores: Dr. C. Elia Natividad Cabrera Álvarez. Universidad de Cienfuegos. Cuba. Correo: </w:t>
      </w:r>
      <w:hyperlink r:id="rId6" w:history="1">
        <w:r w:rsidRPr="00D84C2A">
          <w:rPr>
            <w:rStyle w:val="Hipervnculo"/>
            <w:rFonts w:ascii="Arial" w:eastAsia="Times New Roman" w:hAnsi="Arial" w:cs="Arial"/>
            <w:b/>
            <w:bCs/>
            <w:kern w:val="36"/>
            <w:sz w:val="24"/>
            <w:szCs w:val="24"/>
            <w:lang w:eastAsia="es-CU"/>
          </w:rPr>
          <w:t>elita@ucf.edu.cu</w:t>
        </w:r>
      </w:hyperlink>
    </w:p>
    <w:p w14:paraId="4FA7112C" w14:textId="77777777" w:rsidR="00D84C2A" w:rsidRPr="00D84C2A" w:rsidRDefault="00D84C2A" w:rsidP="00D84C2A">
      <w:pPr>
        <w:spacing w:after="0" w:line="240" w:lineRule="auto"/>
        <w:jc w:val="both"/>
        <w:rPr>
          <w:rFonts w:ascii="Arial" w:hAnsi="Arial" w:cs="Arial"/>
          <w:b/>
          <w:bCs/>
          <w:color w:val="1F1F1F"/>
          <w:sz w:val="24"/>
          <w:szCs w:val="24"/>
        </w:rPr>
      </w:pPr>
      <w:r w:rsidRPr="00D84C2A">
        <w:rPr>
          <w:rFonts w:ascii="Arial" w:hAnsi="Arial" w:cs="Arial"/>
          <w:b/>
          <w:bCs/>
          <w:color w:val="1F1F1F"/>
          <w:sz w:val="24"/>
          <w:szCs w:val="24"/>
        </w:rPr>
        <w:t>Tipo de trabajo sugerido: Ponencia</w:t>
      </w:r>
    </w:p>
    <w:p w14:paraId="574AAE68" w14:textId="77777777" w:rsidR="00D84C2A" w:rsidRPr="00D84C2A" w:rsidRDefault="00D84C2A" w:rsidP="00D84C2A">
      <w:pPr>
        <w:spacing w:after="0" w:line="240" w:lineRule="auto"/>
        <w:jc w:val="both"/>
        <w:rPr>
          <w:rFonts w:ascii="Arial" w:hAnsi="Arial" w:cs="Arial"/>
          <w:b/>
          <w:bCs/>
          <w:color w:val="1F1F1F"/>
          <w:sz w:val="24"/>
          <w:szCs w:val="24"/>
        </w:rPr>
      </w:pPr>
    </w:p>
    <w:p w14:paraId="6711BB6C" w14:textId="77777777" w:rsidR="00D84C2A" w:rsidRPr="00D84C2A" w:rsidRDefault="00D84C2A" w:rsidP="00D84C2A">
      <w:pPr>
        <w:spacing w:after="0" w:line="240" w:lineRule="auto"/>
        <w:jc w:val="both"/>
        <w:rPr>
          <w:rFonts w:ascii="Arial" w:hAnsi="Arial" w:cs="Arial"/>
          <w:b/>
          <w:bCs/>
          <w:color w:val="1F1F1F"/>
          <w:sz w:val="24"/>
          <w:szCs w:val="24"/>
        </w:rPr>
      </w:pPr>
      <w:r w:rsidRPr="00D84C2A">
        <w:rPr>
          <w:rFonts w:ascii="Arial" w:hAnsi="Arial" w:cs="Arial"/>
          <w:b/>
          <w:bCs/>
          <w:color w:val="1F1F1F"/>
          <w:sz w:val="24"/>
          <w:szCs w:val="24"/>
        </w:rPr>
        <w:t>Resumen</w:t>
      </w:r>
    </w:p>
    <w:p w14:paraId="2E5010CD" w14:textId="77777777" w:rsidR="00D84C2A" w:rsidRPr="00D84C2A" w:rsidRDefault="00D84C2A" w:rsidP="00D84C2A">
      <w:pPr>
        <w:spacing w:after="0" w:line="240" w:lineRule="auto"/>
        <w:jc w:val="both"/>
        <w:rPr>
          <w:rFonts w:ascii="Arial" w:hAnsi="Arial" w:cs="Arial"/>
          <w:color w:val="1F1F1F"/>
          <w:sz w:val="24"/>
          <w:szCs w:val="24"/>
        </w:rPr>
      </w:pPr>
      <w:r w:rsidRPr="00D84C2A">
        <w:rPr>
          <w:rFonts w:ascii="Arial" w:hAnsi="Arial" w:cs="Arial"/>
          <w:color w:val="1F1F1F"/>
          <w:sz w:val="24"/>
          <w:szCs w:val="24"/>
        </w:rPr>
        <w:t xml:space="preserve">En el escenario contemporáneo, la planificación estratégica se ha consolidado como un instrumento indispensable para la gobernanza y la sostenibilidad de los sistemas territoriales. En este sentido, los gobiernos locales tienen la necesidad de prever escenarios y tomar decisiones basadas en evidencia científica ante el entorno convulso, cambiante e incierto. Es en este punto donde la confluencia entre la prospectiva territorial y la Ciencia de Datos se convierte en un imperativo metodológico. </w:t>
      </w:r>
    </w:p>
    <w:p w14:paraId="6039468E" w14:textId="2F6BEF63" w:rsidR="00422082" w:rsidRDefault="00D84C2A" w:rsidP="00422082">
      <w:pPr>
        <w:spacing w:after="0" w:line="240" w:lineRule="auto"/>
        <w:jc w:val="both"/>
        <w:rPr>
          <w:rFonts w:ascii="Arial" w:eastAsia="Times New Roman" w:hAnsi="Arial" w:cs="Arial"/>
          <w:sz w:val="24"/>
          <w:szCs w:val="24"/>
          <w:lang w:eastAsia="es-CU"/>
        </w:rPr>
      </w:pPr>
      <w:r w:rsidRPr="00D84C2A">
        <w:rPr>
          <w:rFonts w:ascii="Arial" w:hAnsi="Arial" w:cs="Arial"/>
          <w:color w:val="1F1F1F"/>
          <w:sz w:val="24"/>
          <w:szCs w:val="24"/>
        </w:rPr>
        <w:t xml:space="preserve">El presente trabajo titulado: </w:t>
      </w:r>
      <w:r w:rsidRPr="00D84C2A">
        <w:rPr>
          <w:rFonts w:ascii="Arial" w:eastAsia="Times New Roman" w:hAnsi="Arial" w:cs="Arial"/>
          <w:kern w:val="36"/>
          <w:sz w:val="24"/>
          <w:szCs w:val="24"/>
          <w:lang w:eastAsia="es-CU"/>
        </w:rPr>
        <w:t xml:space="preserve">Importancia de un Modelo de Gestión Prospectivo basado en Ciencia de Datos para la construcción de Escenarios Municipales, tiene como objetivo general </w:t>
      </w:r>
      <w:r w:rsidR="00422082" w:rsidRPr="00F4045B">
        <w:rPr>
          <w:rFonts w:ascii="Arial" w:eastAsia="Times New Roman" w:hAnsi="Arial" w:cs="Arial"/>
          <w:sz w:val="24"/>
          <w:szCs w:val="24"/>
          <w:lang w:eastAsia="es-CU"/>
        </w:rPr>
        <w:t xml:space="preserve">examinar la importancia metodológica y práctica de </w:t>
      </w:r>
      <w:r w:rsidR="00422082">
        <w:rPr>
          <w:rFonts w:ascii="Arial" w:eastAsia="Times New Roman" w:hAnsi="Arial" w:cs="Arial"/>
          <w:sz w:val="24"/>
          <w:szCs w:val="24"/>
          <w:lang w:eastAsia="es-CU"/>
        </w:rPr>
        <w:t xml:space="preserve">la </w:t>
      </w:r>
      <w:r w:rsidR="00422082" w:rsidRPr="00F4045B">
        <w:rPr>
          <w:rFonts w:ascii="Arial" w:eastAsia="Times New Roman" w:hAnsi="Arial" w:cs="Arial"/>
          <w:sz w:val="24"/>
          <w:szCs w:val="24"/>
          <w:lang w:eastAsia="es-CU"/>
        </w:rPr>
        <w:t>vincula</w:t>
      </w:r>
      <w:r w:rsidR="00422082">
        <w:rPr>
          <w:rFonts w:ascii="Arial" w:eastAsia="Times New Roman" w:hAnsi="Arial" w:cs="Arial"/>
          <w:sz w:val="24"/>
          <w:szCs w:val="24"/>
          <w:lang w:eastAsia="es-CU"/>
        </w:rPr>
        <w:t>ción de</w:t>
      </w:r>
      <w:r w:rsidR="00422082" w:rsidRPr="00F4045B">
        <w:rPr>
          <w:rFonts w:ascii="Arial" w:eastAsia="Times New Roman" w:hAnsi="Arial" w:cs="Arial"/>
          <w:sz w:val="24"/>
          <w:szCs w:val="24"/>
          <w:lang w:eastAsia="es-CU"/>
        </w:rPr>
        <w:t xml:space="preserve"> la ciencia de datos con la construcción de escenarios prospectivos</w:t>
      </w:r>
      <w:r w:rsidR="00422082">
        <w:rPr>
          <w:rFonts w:ascii="Arial" w:eastAsia="Times New Roman" w:hAnsi="Arial" w:cs="Arial"/>
          <w:sz w:val="24"/>
          <w:szCs w:val="24"/>
          <w:lang w:eastAsia="es-CU"/>
        </w:rPr>
        <w:t>.</w:t>
      </w:r>
    </w:p>
    <w:p w14:paraId="4389FAD6" w14:textId="1894B19A" w:rsidR="00DE6A47" w:rsidRDefault="00D84C2A" w:rsidP="00D84C2A">
      <w:pPr>
        <w:spacing w:after="0" w:line="240" w:lineRule="auto"/>
        <w:jc w:val="both"/>
        <w:rPr>
          <w:rFonts w:ascii="Arial" w:eastAsia="Times New Roman" w:hAnsi="Arial" w:cs="Arial"/>
          <w:kern w:val="36"/>
          <w:sz w:val="24"/>
          <w:szCs w:val="24"/>
          <w:lang w:eastAsia="es-CU"/>
        </w:rPr>
      </w:pPr>
      <w:r w:rsidRPr="00D84C2A">
        <w:rPr>
          <w:rFonts w:ascii="Arial" w:eastAsia="Times New Roman" w:hAnsi="Arial" w:cs="Arial"/>
          <w:kern w:val="36"/>
          <w:sz w:val="24"/>
          <w:szCs w:val="24"/>
          <w:lang w:eastAsia="es-CU"/>
        </w:rPr>
        <w:t xml:space="preserve">Como resultado se </w:t>
      </w:r>
      <w:r w:rsidR="00422082">
        <w:rPr>
          <w:rFonts w:ascii="Arial" w:eastAsia="Times New Roman" w:hAnsi="Arial" w:cs="Arial"/>
          <w:kern w:val="36"/>
          <w:sz w:val="24"/>
          <w:szCs w:val="24"/>
          <w:lang w:eastAsia="es-CU"/>
        </w:rPr>
        <w:t xml:space="preserve">propone </w:t>
      </w:r>
      <w:r w:rsidR="00422082" w:rsidRPr="00F4045B">
        <w:rPr>
          <w:rFonts w:ascii="Arial" w:eastAsia="Times New Roman" w:hAnsi="Arial" w:cs="Arial"/>
          <w:sz w:val="24"/>
          <w:szCs w:val="24"/>
          <w:lang w:eastAsia="es-CU"/>
        </w:rPr>
        <w:t>un modelo conceptual aplicable a la gestión pública local</w:t>
      </w:r>
      <w:r w:rsidR="00422082">
        <w:rPr>
          <w:rFonts w:ascii="Arial" w:eastAsia="Times New Roman" w:hAnsi="Arial" w:cs="Arial"/>
          <w:sz w:val="24"/>
          <w:szCs w:val="24"/>
          <w:lang w:eastAsia="es-CU"/>
        </w:rPr>
        <w:t xml:space="preserve"> y se </w:t>
      </w:r>
      <w:r w:rsidRPr="00D84C2A">
        <w:rPr>
          <w:rFonts w:ascii="Arial" w:eastAsia="Times New Roman" w:hAnsi="Arial" w:cs="Arial"/>
          <w:kern w:val="36"/>
          <w:sz w:val="24"/>
          <w:szCs w:val="24"/>
          <w:lang w:eastAsia="es-CU"/>
        </w:rPr>
        <w:t xml:space="preserve">presentan </w:t>
      </w:r>
      <w:r w:rsidR="00DE6A47">
        <w:rPr>
          <w:rFonts w:ascii="Arial" w:eastAsia="Times New Roman" w:hAnsi="Arial" w:cs="Arial"/>
          <w:kern w:val="36"/>
          <w:sz w:val="24"/>
          <w:szCs w:val="24"/>
          <w:lang w:eastAsia="es-CU"/>
        </w:rPr>
        <w:t>sus</w:t>
      </w:r>
      <w:r w:rsidR="00422082">
        <w:rPr>
          <w:rFonts w:ascii="Arial" w:eastAsia="Times New Roman" w:hAnsi="Arial" w:cs="Arial"/>
          <w:kern w:val="36"/>
          <w:sz w:val="24"/>
          <w:szCs w:val="24"/>
          <w:lang w:eastAsia="es-CU"/>
        </w:rPr>
        <w:t xml:space="preserve"> beneficios, retos y desafíos</w:t>
      </w:r>
      <w:r w:rsidR="00DE6A47">
        <w:rPr>
          <w:rFonts w:ascii="Arial" w:eastAsia="Times New Roman" w:hAnsi="Arial" w:cs="Arial"/>
          <w:kern w:val="36"/>
          <w:sz w:val="24"/>
          <w:szCs w:val="24"/>
          <w:lang w:eastAsia="es-CU"/>
        </w:rPr>
        <w:t>.</w:t>
      </w:r>
    </w:p>
    <w:p w14:paraId="721AE5D6" w14:textId="77777777" w:rsidR="00DE6A47" w:rsidRPr="00D84C2A" w:rsidRDefault="00DE6A47" w:rsidP="00D84C2A">
      <w:pPr>
        <w:spacing w:after="0" w:line="240" w:lineRule="auto"/>
        <w:jc w:val="both"/>
        <w:rPr>
          <w:rFonts w:ascii="Arial" w:eastAsia="Times New Roman" w:hAnsi="Arial" w:cs="Arial"/>
          <w:kern w:val="36"/>
          <w:sz w:val="24"/>
          <w:szCs w:val="24"/>
          <w:lang w:eastAsia="es-CU"/>
        </w:rPr>
      </w:pPr>
    </w:p>
    <w:p w14:paraId="53944EE2" w14:textId="77777777" w:rsidR="00D84C2A" w:rsidRPr="00D84C2A" w:rsidRDefault="00D84C2A" w:rsidP="00D84C2A">
      <w:pPr>
        <w:spacing w:after="0" w:line="240" w:lineRule="auto"/>
        <w:jc w:val="both"/>
        <w:rPr>
          <w:rFonts w:ascii="Arial" w:eastAsia="Times New Roman" w:hAnsi="Arial" w:cs="Arial"/>
          <w:b/>
          <w:bCs/>
          <w:kern w:val="36"/>
          <w:sz w:val="24"/>
          <w:szCs w:val="24"/>
          <w:lang w:eastAsia="es-CU"/>
        </w:rPr>
      </w:pPr>
      <w:r w:rsidRPr="00D84C2A">
        <w:rPr>
          <w:rFonts w:ascii="Arial" w:eastAsia="Times New Roman" w:hAnsi="Arial" w:cs="Arial"/>
          <w:b/>
          <w:bCs/>
          <w:kern w:val="36"/>
          <w:sz w:val="24"/>
          <w:szCs w:val="24"/>
          <w:lang w:eastAsia="es-CU"/>
        </w:rPr>
        <w:t>Palabras claves: prospectiva, ciencia de datos, escenarios municipales.</w:t>
      </w:r>
    </w:p>
    <w:p w14:paraId="7BA31AFA" w14:textId="77777777" w:rsidR="00D84C2A" w:rsidRPr="00D84C2A" w:rsidRDefault="00D84C2A" w:rsidP="00D84C2A">
      <w:pPr>
        <w:spacing w:after="0" w:line="240" w:lineRule="auto"/>
        <w:jc w:val="both"/>
        <w:rPr>
          <w:rFonts w:ascii="Arial" w:eastAsia="Times New Roman" w:hAnsi="Arial" w:cs="Arial"/>
          <w:b/>
          <w:bCs/>
          <w:kern w:val="36"/>
          <w:sz w:val="24"/>
          <w:szCs w:val="24"/>
          <w:lang w:eastAsia="es-CU"/>
        </w:rPr>
      </w:pPr>
    </w:p>
    <w:p w14:paraId="3DA52843" w14:textId="77777777" w:rsidR="00F4045B" w:rsidRPr="00F4045B" w:rsidRDefault="00F4045B" w:rsidP="00F4045B">
      <w:pPr>
        <w:spacing w:after="0" w:line="240" w:lineRule="auto"/>
        <w:jc w:val="both"/>
        <w:rPr>
          <w:rFonts w:ascii="Arial" w:eastAsia="Times New Roman" w:hAnsi="Arial" w:cs="Arial"/>
          <w:b/>
          <w:bCs/>
          <w:sz w:val="24"/>
          <w:szCs w:val="24"/>
          <w:lang w:eastAsia="es-CU"/>
        </w:rPr>
      </w:pPr>
      <w:r w:rsidRPr="00F4045B">
        <w:rPr>
          <w:rFonts w:ascii="Arial" w:eastAsia="Times New Roman" w:hAnsi="Arial" w:cs="Arial"/>
          <w:b/>
          <w:bCs/>
          <w:sz w:val="24"/>
          <w:szCs w:val="24"/>
          <w:lang w:eastAsia="es-CU"/>
        </w:rPr>
        <w:t>1. Introducción</w:t>
      </w:r>
    </w:p>
    <w:p w14:paraId="0406575A" w14:textId="77777777" w:rsidR="00F4045B" w:rsidRPr="00F4045B" w:rsidRDefault="00F4045B" w:rsidP="00F4045B">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 xml:space="preserve">Los gobiernos municipales constituyen la primera línea de respuesta ante las demandas sociales, económicas y ambientales de la ciudadanía. Sin embargo, los instrumentos tradicionales de </w:t>
      </w:r>
      <w:r w:rsidRPr="00F4045B">
        <w:rPr>
          <w:rFonts w:ascii="Arial" w:eastAsia="Times New Roman" w:hAnsi="Arial" w:cs="Arial"/>
          <w:b/>
          <w:bCs/>
          <w:sz w:val="24"/>
          <w:szCs w:val="24"/>
          <w:lang w:eastAsia="es-CU"/>
        </w:rPr>
        <w:t>planificación estratégica municipal</w:t>
      </w:r>
      <w:r w:rsidRPr="00F4045B">
        <w:rPr>
          <w:rFonts w:ascii="Arial" w:eastAsia="Times New Roman" w:hAnsi="Arial" w:cs="Arial"/>
          <w:sz w:val="24"/>
          <w:szCs w:val="24"/>
          <w:lang w:eastAsia="es-CU"/>
        </w:rPr>
        <w:t xml:space="preserve"> suelen estructurarse bajo un paradigma retrospectivo: se analizan tendencias históricas de censos decenales o estadísticas rezagadas para proyectar futuros lineales que rara vez resisten la volatilidad del entorno contemporáneo.</w:t>
      </w:r>
    </w:p>
    <w:p w14:paraId="0251D657" w14:textId="77777777" w:rsidR="00F4045B" w:rsidRPr="00F4045B" w:rsidRDefault="00F4045B" w:rsidP="00F4045B">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 xml:space="preserve">En la actualidad, las ciudades experimentan fenómenos acelerados como el crecimiento demográfico no planificado, presiones sobre la infraestructura crítica, vulnerabilidad climática y demandas de gobernanza abierta. Ante este escenario de alta incertidumbre, la </w:t>
      </w:r>
      <w:r w:rsidRPr="00F4045B">
        <w:rPr>
          <w:rFonts w:ascii="Arial" w:eastAsia="Times New Roman" w:hAnsi="Arial" w:cs="Arial"/>
          <w:b/>
          <w:bCs/>
          <w:sz w:val="24"/>
          <w:szCs w:val="24"/>
          <w:lang w:eastAsia="es-CU"/>
        </w:rPr>
        <w:t>prospectiva estratégica</w:t>
      </w:r>
      <w:r w:rsidRPr="00F4045B">
        <w:rPr>
          <w:rFonts w:ascii="Arial" w:eastAsia="Times New Roman" w:hAnsi="Arial" w:cs="Arial"/>
          <w:sz w:val="24"/>
          <w:szCs w:val="24"/>
          <w:lang w:eastAsia="es-CU"/>
        </w:rPr>
        <w:t xml:space="preserve"> ofrece herramientas para anticipar futuros posibles, probables y deseables, permitiendo diseñar políticas robustas frente a múltiples contingencias. No obstante, la prospectiva municipal ha dependido históricamente de juicios subjetivos de expertos y consultas cualitativas limitadas por sesgos cognitivos y escasez de granularidad espacial.</w:t>
      </w:r>
    </w:p>
    <w:p w14:paraId="18987564" w14:textId="1E22CA24" w:rsidR="00F4045B" w:rsidRPr="00F4045B" w:rsidRDefault="00F4045B" w:rsidP="00F4045B">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 xml:space="preserve">Es aquí donde la </w:t>
      </w:r>
      <w:r w:rsidRPr="00F4045B">
        <w:rPr>
          <w:rFonts w:ascii="Arial" w:eastAsia="Times New Roman" w:hAnsi="Arial" w:cs="Arial"/>
          <w:b/>
          <w:bCs/>
          <w:sz w:val="24"/>
          <w:szCs w:val="24"/>
          <w:lang w:eastAsia="es-CU"/>
        </w:rPr>
        <w:t>ciencia de datos</w:t>
      </w:r>
      <w:r w:rsidRPr="00F4045B">
        <w:rPr>
          <w:rFonts w:ascii="Arial" w:eastAsia="Times New Roman" w:hAnsi="Arial" w:cs="Arial"/>
          <w:sz w:val="24"/>
          <w:szCs w:val="24"/>
          <w:lang w:eastAsia="es-CU"/>
        </w:rPr>
        <w:t xml:space="preserve"> (</w:t>
      </w:r>
      <w:r w:rsidRPr="00F4045B">
        <w:rPr>
          <w:rFonts w:ascii="Arial" w:eastAsia="Times New Roman" w:hAnsi="Arial" w:cs="Arial"/>
          <w:i/>
          <w:iCs/>
          <w:sz w:val="24"/>
          <w:szCs w:val="24"/>
          <w:lang w:eastAsia="es-CU"/>
        </w:rPr>
        <w:t>Data Science</w:t>
      </w:r>
      <w:r w:rsidRPr="00F4045B">
        <w:rPr>
          <w:rFonts w:ascii="Arial" w:eastAsia="Times New Roman" w:hAnsi="Arial" w:cs="Arial"/>
          <w:sz w:val="24"/>
          <w:szCs w:val="24"/>
          <w:lang w:eastAsia="es-CU"/>
        </w:rPr>
        <w:t>) adquiere un rol transformador. Al habilitar el procesamiento masivo de fuentes de información heterogéneas y en tiempo real</w:t>
      </w:r>
      <w:r w:rsidR="00314D80">
        <w:rPr>
          <w:rFonts w:ascii="Arial" w:eastAsia="Times New Roman" w:hAnsi="Arial" w:cs="Arial"/>
          <w:sz w:val="24"/>
          <w:szCs w:val="24"/>
          <w:lang w:eastAsia="es-CU"/>
        </w:rPr>
        <w:t xml:space="preserve">, </w:t>
      </w:r>
      <w:r w:rsidRPr="00F4045B">
        <w:rPr>
          <w:rFonts w:ascii="Arial" w:eastAsia="Times New Roman" w:hAnsi="Arial" w:cs="Arial"/>
          <w:sz w:val="24"/>
          <w:szCs w:val="24"/>
          <w:lang w:eastAsia="es-CU"/>
        </w:rPr>
        <w:t>tales como datos de movilidad urbana, registros administrativos, sensores IoT, imágenes satelitales y expresiones en redes sociales</w:t>
      </w:r>
      <w:r w:rsidR="00314D80">
        <w:rPr>
          <w:rFonts w:ascii="Arial" w:eastAsia="Times New Roman" w:hAnsi="Arial" w:cs="Arial"/>
          <w:sz w:val="24"/>
          <w:szCs w:val="24"/>
          <w:lang w:eastAsia="es-CU"/>
        </w:rPr>
        <w:t>. L</w:t>
      </w:r>
      <w:r w:rsidRPr="00F4045B">
        <w:rPr>
          <w:rFonts w:ascii="Arial" w:eastAsia="Times New Roman" w:hAnsi="Arial" w:cs="Arial"/>
          <w:sz w:val="24"/>
          <w:szCs w:val="24"/>
          <w:lang w:eastAsia="es-CU"/>
        </w:rPr>
        <w:t>a ciencia de datos aporta el rigor cuantitativo y la precisión espacial de la que carecían los ejercicios prospectivos tradicionales.</w:t>
      </w:r>
    </w:p>
    <w:p w14:paraId="2BDC3022" w14:textId="1B6E2AE7" w:rsidR="00F4045B" w:rsidRDefault="00F4045B" w:rsidP="0068106A">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lastRenderedPageBreak/>
        <w:t xml:space="preserve">El presente trabajo tiene como objetivo examinar la importancia metodológica y práctica de </w:t>
      </w:r>
      <w:r w:rsidR="00422082">
        <w:rPr>
          <w:rFonts w:ascii="Arial" w:eastAsia="Times New Roman" w:hAnsi="Arial" w:cs="Arial"/>
          <w:sz w:val="24"/>
          <w:szCs w:val="24"/>
          <w:lang w:eastAsia="es-CU"/>
        </w:rPr>
        <w:t xml:space="preserve">la </w:t>
      </w:r>
      <w:r w:rsidRPr="00F4045B">
        <w:rPr>
          <w:rFonts w:ascii="Arial" w:eastAsia="Times New Roman" w:hAnsi="Arial" w:cs="Arial"/>
          <w:sz w:val="24"/>
          <w:szCs w:val="24"/>
          <w:lang w:eastAsia="es-CU"/>
        </w:rPr>
        <w:t>vincula</w:t>
      </w:r>
      <w:r w:rsidR="00422082">
        <w:rPr>
          <w:rFonts w:ascii="Arial" w:eastAsia="Times New Roman" w:hAnsi="Arial" w:cs="Arial"/>
          <w:sz w:val="24"/>
          <w:szCs w:val="24"/>
          <w:lang w:eastAsia="es-CU"/>
        </w:rPr>
        <w:t>ción de</w:t>
      </w:r>
      <w:r w:rsidRPr="00F4045B">
        <w:rPr>
          <w:rFonts w:ascii="Arial" w:eastAsia="Times New Roman" w:hAnsi="Arial" w:cs="Arial"/>
          <w:sz w:val="24"/>
          <w:szCs w:val="24"/>
          <w:lang w:eastAsia="es-CU"/>
        </w:rPr>
        <w:t xml:space="preserve"> la ciencia de datos con la construcción de escenarios prospectivos, proponiendo un modelo conceptual aplicable a la gestión pública local</w:t>
      </w:r>
      <w:r w:rsidR="00422082">
        <w:rPr>
          <w:rFonts w:ascii="Arial" w:eastAsia="Times New Roman" w:hAnsi="Arial" w:cs="Arial"/>
          <w:sz w:val="24"/>
          <w:szCs w:val="24"/>
          <w:lang w:eastAsia="es-CU"/>
        </w:rPr>
        <w:t>.</w:t>
      </w:r>
    </w:p>
    <w:p w14:paraId="38128CC9" w14:textId="672EE2CE" w:rsidR="0068106A" w:rsidRPr="0068106A" w:rsidRDefault="00DE6A47" w:rsidP="0068106A">
      <w:pPr>
        <w:spacing w:after="0" w:line="240" w:lineRule="auto"/>
        <w:jc w:val="both"/>
        <w:rPr>
          <w:rFonts w:ascii="Arial" w:eastAsia="Times New Roman" w:hAnsi="Arial" w:cs="Arial"/>
          <w:sz w:val="24"/>
          <w:szCs w:val="24"/>
          <w:lang w:eastAsia="es-CU"/>
        </w:rPr>
      </w:pPr>
      <w:r>
        <w:rPr>
          <w:rFonts w:ascii="Arial" w:eastAsia="Times New Roman" w:hAnsi="Arial" w:cs="Arial"/>
          <w:sz w:val="24"/>
          <w:szCs w:val="24"/>
          <w:lang w:eastAsia="es-CU"/>
        </w:rPr>
        <w:t>Para ello, se realizó un</w:t>
      </w:r>
      <w:r w:rsidR="0068106A">
        <w:rPr>
          <w:rFonts w:ascii="Arial" w:eastAsia="Times New Roman" w:hAnsi="Arial" w:cs="Arial"/>
          <w:sz w:val="24"/>
          <w:szCs w:val="24"/>
          <w:lang w:eastAsia="es-CU"/>
        </w:rPr>
        <w:t>a</w:t>
      </w:r>
      <w:r>
        <w:rPr>
          <w:rFonts w:ascii="Arial" w:eastAsia="Times New Roman" w:hAnsi="Arial" w:cs="Arial"/>
          <w:sz w:val="24"/>
          <w:szCs w:val="24"/>
          <w:lang w:eastAsia="es-CU"/>
        </w:rPr>
        <w:t xml:space="preserve"> revisión</w:t>
      </w:r>
      <w:r w:rsidR="0068106A">
        <w:rPr>
          <w:rFonts w:ascii="Arial" w:eastAsia="Times New Roman" w:hAnsi="Arial" w:cs="Arial"/>
          <w:sz w:val="24"/>
          <w:szCs w:val="24"/>
          <w:lang w:eastAsia="es-CU"/>
        </w:rPr>
        <w:t xml:space="preserve"> bibliográfica</w:t>
      </w:r>
      <w:r>
        <w:rPr>
          <w:rFonts w:ascii="Arial" w:eastAsia="Times New Roman" w:hAnsi="Arial" w:cs="Arial"/>
          <w:sz w:val="24"/>
          <w:szCs w:val="24"/>
          <w:lang w:eastAsia="es-CU"/>
        </w:rPr>
        <w:t xml:space="preserve"> de la literatura actual</w:t>
      </w:r>
      <w:r w:rsidR="0068106A">
        <w:rPr>
          <w:rFonts w:ascii="Arial" w:eastAsia="Times New Roman" w:hAnsi="Arial" w:cs="Arial"/>
          <w:sz w:val="24"/>
          <w:szCs w:val="24"/>
          <w:lang w:eastAsia="es-CU"/>
        </w:rPr>
        <w:t xml:space="preserve"> y entre los m</w:t>
      </w:r>
      <w:r w:rsidR="0068106A" w:rsidRPr="005062BF">
        <w:rPr>
          <w:rFonts w:ascii="Arial" w:eastAsia="Times New Roman" w:hAnsi="Arial" w:cs="Arial"/>
          <w:lang w:eastAsia="es-CU"/>
        </w:rPr>
        <w:t>étodos</w:t>
      </w:r>
      <w:r w:rsidR="0068106A">
        <w:rPr>
          <w:rFonts w:ascii="Arial" w:eastAsia="Times New Roman" w:hAnsi="Arial" w:cs="Arial"/>
          <w:lang w:eastAsia="es-CU"/>
        </w:rPr>
        <w:t xml:space="preserve">, </w:t>
      </w:r>
      <w:r w:rsidR="0068106A" w:rsidRPr="0068106A">
        <w:rPr>
          <w:rFonts w:ascii="Arial" w:eastAsia="Times New Roman" w:hAnsi="Arial" w:cs="Arial"/>
          <w:sz w:val="24"/>
          <w:szCs w:val="24"/>
          <w:lang w:eastAsia="es-CU"/>
        </w:rPr>
        <w:t xml:space="preserve">técnicas y herramientas </w:t>
      </w:r>
      <w:r w:rsidR="0068106A">
        <w:rPr>
          <w:rFonts w:ascii="Arial" w:eastAsia="Times New Roman" w:hAnsi="Arial" w:cs="Arial"/>
          <w:sz w:val="24"/>
          <w:szCs w:val="24"/>
          <w:lang w:eastAsia="es-CU"/>
        </w:rPr>
        <w:t xml:space="preserve">que se emplearon </w:t>
      </w:r>
      <w:r w:rsidR="00EE5921">
        <w:rPr>
          <w:rFonts w:ascii="Arial" w:eastAsia="Times New Roman" w:hAnsi="Arial" w:cs="Arial"/>
          <w:sz w:val="24"/>
          <w:szCs w:val="24"/>
          <w:lang w:eastAsia="es-CU"/>
        </w:rPr>
        <w:t>figuran</w:t>
      </w:r>
      <w:r w:rsidR="0068106A">
        <w:rPr>
          <w:rFonts w:ascii="Arial" w:eastAsia="Times New Roman" w:hAnsi="Arial" w:cs="Arial"/>
          <w:sz w:val="24"/>
          <w:szCs w:val="24"/>
          <w:lang w:eastAsia="es-CU"/>
        </w:rPr>
        <w:t xml:space="preserve">: </w:t>
      </w:r>
      <w:r w:rsidR="0068106A" w:rsidRPr="0068106A">
        <w:rPr>
          <w:rFonts w:ascii="Arial" w:eastAsia="Times New Roman" w:hAnsi="Arial" w:cs="Arial"/>
          <w:sz w:val="24"/>
          <w:szCs w:val="24"/>
          <w:lang w:eastAsia="es-CU"/>
        </w:rPr>
        <w:t>métodos empíricos</w:t>
      </w:r>
      <w:r w:rsidR="0068106A">
        <w:rPr>
          <w:rFonts w:ascii="Arial" w:eastAsia="Times New Roman" w:hAnsi="Arial" w:cs="Arial"/>
          <w:sz w:val="24"/>
          <w:szCs w:val="24"/>
          <w:lang w:eastAsia="es-CU"/>
        </w:rPr>
        <w:t xml:space="preserve"> (</w:t>
      </w:r>
      <w:r w:rsidR="0068106A" w:rsidRPr="0068106A">
        <w:rPr>
          <w:rFonts w:ascii="Arial" w:eastAsia="Times New Roman" w:hAnsi="Arial" w:cs="Arial"/>
          <w:sz w:val="24"/>
          <w:szCs w:val="24"/>
          <w:lang w:eastAsia="es-CU"/>
        </w:rPr>
        <w:t>análisis documental</w:t>
      </w:r>
      <w:r w:rsidR="0068106A">
        <w:rPr>
          <w:rFonts w:ascii="Arial" w:eastAsia="Times New Roman" w:hAnsi="Arial" w:cs="Arial"/>
          <w:sz w:val="24"/>
          <w:szCs w:val="24"/>
          <w:lang w:eastAsia="es-CU"/>
        </w:rPr>
        <w:t xml:space="preserve"> y e</w:t>
      </w:r>
      <w:r w:rsidR="0068106A" w:rsidRPr="0068106A">
        <w:rPr>
          <w:rFonts w:ascii="Arial" w:eastAsia="Times New Roman" w:hAnsi="Arial" w:cs="Arial"/>
          <w:sz w:val="24"/>
          <w:szCs w:val="24"/>
          <w:lang w:eastAsia="es-CU"/>
        </w:rPr>
        <w:t>ntrevistas</w:t>
      </w:r>
      <w:r w:rsidR="0068106A">
        <w:rPr>
          <w:rFonts w:ascii="Arial" w:eastAsia="Times New Roman" w:hAnsi="Arial" w:cs="Arial"/>
          <w:sz w:val="24"/>
          <w:szCs w:val="24"/>
          <w:lang w:eastAsia="es-CU"/>
        </w:rPr>
        <w:t xml:space="preserve">), </w:t>
      </w:r>
      <w:r w:rsidR="0068106A" w:rsidRPr="0068106A">
        <w:rPr>
          <w:rFonts w:ascii="Arial" w:eastAsia="Times New Roman" w:hAnsi="Arial" w:cs="Arial"/>
          <w:sz w:val="24"/>
          <w:szCs w:val="24"/>
          <w:lang w:eastAsia="es-CU"/>
        </w:rPr>
        <w:t>métodos prospectivos: (</w:t>
      </w:r>
      <w:r w:rsidR="00EE5921">
        <w:rPr>
          <w:rFonts w:ascii="Arial" w:eastAsia="Times New Roman" w:hAnsi="Arial" w:cs="Arial"/>
          <w:sz w:val="24"/>
          <w:szCs w:val="24"/>
          <w:lang w:eastAsia="es-CU"/>
        </w:rPr>
        <w:t>G</w:t>
      </w:r>
      <w:r w:rsidR="0068106A" w:rsidRPr="0068106A">
        <w:rPr>
          <w:rFonts w:ascii="Arial" w:eastAsia="Times New Roman" w:hAnsi="Arial" w:cs="Arial"/>
          <w:sz w:val="24"/>
          <w:szCs w:val="24"/>
          <w:lang w:eastAsia="es-CU"/>
        </w:rPr>
        <w:t>odet, 2007)</w:t>
      </w:r>
      <w:r w:rsidR="0068106A">
        <w:rPr>
          <w:rFonts w:ascii="Arial" w:eastAsia="Times New Roman" w:hAnsi="Arial" w:cs="Arial"/>
          <w:sz w:val="24"/>
          <w:szCs w:val="24"/>
          <w:lang w:eastAsia="es-CU"/>
        </w:rPr>
        <w:t xml:space="preserve">, </w:t>
      </w:r>
      <w:r w:rsidR="0068106A" w:rsidRPr="0068106A">
        <w:rPr>
          <w:rFonts w:ascii="Arial" w:eastAsia="Times New Roman" w:hAnsi="Arial" w:cs="Arial"/>
          <w:sz w:val="24"/>
          <w:szCs w:val="24"/>
          <w:lang w:eastAsia="es-CU"/>
        </w:rPr>
        <w:t>métodos de ciencia de datos</w:t>
      </w:r>
      <w:r w:rsidR="0068106A">
        <w:rPr>
          <w:rFonts w:ascii="Arial" w:eastAsia="Times New Roman" w:hAnsi="Arial" w:cs="Arial"/>
          <w:sz w:val="24"/>
          <w:szCs w:val="24"/>
          <w:lang w:eastAsia="es-CU"/>
        </w:rPr>
        <w:t xml:space="preserve"> (</w:t>
      </w:r>
      <w:r w:rsidR="0068106A" w:rsidRPr="0068106A">
        <w:rPr>
          <w:rFonts w:ascii="Arial" w:eastAsia="Times New Roman" w:hAnsi="Arial" w:cs="Arial"/>
          <w:sz w:val="24"/>
          <w:szCs w:val="24"/>
          <w:lang w:eastAsia="es-CU"/>
        </w:rPr>
        <w:t>analítica descriptiva</w:t>
      </w:r>
      <w:r w:rsidR="0068106A">
        <w:rPr>
          <w:rFonts w:ascii="Arial" w:eastAsia="Times New Roman" w:hAnsi="Arial" w:cs="Arial"/>
          <w:sz w:val="24"/>
          <w:szCs w:val="24"/>
          <w:lang w:eastAsia="es-CU"/>
        </w:rPr>
        <w:t xml:space="preserve"> y </w:t>
      </w:r>
      <w:r w:rsidR="0068106A" w:rsidRPr="0068106A">
        <w:rPr>
          <w:rFonts w:ascii="Arial" w:eastAsia="Times New Roman" w:hAnsi="Arial" w:cs="Arial"/>
          <w:sz w:val="24"/>
          <w:szCs w:val="24"/>
          <w:lang w:eastAsia="es-CU"/>
        </w:rPr>
        <w:t>predictiva</w:t>
      </w:r>
      <w:r w:rsidR="0068106A">
        <w:rPr>
          <w:rFonts w:ascii="Arial" w:eastAsia="Times New Roman" w:hAnsi="Arial" w:cs="Arial"/>
          <w:sz w:val="24"/>
          <w:szCs w:val="24"/>
          <w:lang w:eastAsia="es-CU"/>
        </w:rPr>
        <w:t>)</w:t>
      </w:r>
      <w:r w:rsidR="0068106A" w:rsidRPr="0068106A">
        <w:rPr>
          <w:rFonts w:ascii="Arial" w:eastAsia="Times New Roman" w:hAnsi="Arial" w:cs="Arial"/>
          <w:sz w:val="24"/>
          <w:szCs w:val="24"/>
          <w:lang w:eastAsia="es-CU"/>
        </w:rPr>
        <w:t xml:space="preserve"> </w:t>
      </w:r>
    </w:p>
    <w:p w14:paraId="73E83586" w14:textId="77777777" w:rsidR="0068106A" w:rsidRDefault="0068106A" w:rsidP="00F4045B">
      <w:pPr>
        <w:spacing w:after="0" w:line="240" w:lineRule="auto"/>
        <w:jc w:val="both"/>
        <w:rPr>
          <w:rFonts w:ascii="Arial" w:eastAsia="Times New Roman" w:hAnsi="Arial" w:cs="Arial"/>
          <w:sz w:val="24"/>
          <w:szCs w:val="24"/>
          <w:lang w:eastAsia="es-CU"/>
        </w:rPr>
      </w:pPr>
    </w:p>
    <w:p w14:paraId="40CB7B4E" w14:textId="6FC524C2" w:rsidR="00EE5921" w:rsidRDefault="00EE5921" w:rsidP="00F4045B">
      <w:pPr>
        <w:spacing w:after="0" w:line="240" w:lineRule="auto"/>
        <w:jc w:val="both"/>
        <w:rPr>
          <w:rFonts w:ascii="Arial" w:eastAsia="Times New Roman" w:hAnsi="Arial" w:cs="Arial"/>
          <w:b/>
          <w:bCs/>
          <w:sz w:val="24"/>
          <w:szCs w:val="24"/>
          <w:lang w:eastAsia="es-CU"/>
        </w:rPr>
      </w:pPr>
      <w:r>
        <w:rPr>
          <w:rFonts w:ascii="Arial" w:eastAsia="Times New Roman" w:hAnsi="Arial" w:cs="Arial"/>
          <w:b/>
          <w:bCs/>
          <w:sz w:val="24"/>
          <w:szCs w:val="24"/>
          <w:lang w:eastAsia="es-CU"/>
        </w:rPr>
        <w:t>Desarrollo</w:t>
      </w:r>
    </w:p>
    <w:p w14:paraId="6869B3E5" w14:textId="5E3FBE45" w:rsidR="00F4045B" w:rsidRPr="00F4045B" w:rsidRDefault="00F4045B" w:rsidP="00F4045B">
      <w:pPr>
        <w:spacing w:after="0" w:line="240" w:lineRule="auto"/>
        <w:jc w:val="both"/>
        <w:rPr>
          <w:rFonts w:ascii="Arial" w:eastAsia="Times New Roman" w:hAnsi="Arial" w:cs="Arial"/>
          <w:b/>
          <w:bCs/>
          <w:sz w:val="24"/>
          <w:szCs w:val="24"/>
          <w:lang w:eastAsia="es-CU"/>
        </w:rPr>
      </w:pPr>
      <w:r w:rsidRPr="00F4045B">
        <w:rPr>
          <w:rFonts w:ascii="Arial" w:eastAsia="Times New Roman" w:hAnsi="Arial" w:cs="Arial"/>
          <w:b/>
          <w:bCs/>
          <w:sz w:val="24"/>
          <w:szCs w:val="24"/>
          <w:lang w:eastAsia="es-CU"/>
        </w:rPr>
        <w:t>De la Planificación Tradicional a la Prospectiva Territorial</w:t>
      </w:r>
      <w:r w:rsidR="00EE5921">
        <w:rPr>
          <w:rFonts w:ascii="Arial" w:eastAsia="Times New Roman" w:hAnsi="Arial" w:cs="Arial"/>
          <w:b/>
          <w:bCs/>
          <w:sz w:val="24"/>
          <w:szCs w:val="24"/>
          <w:lang w:eastAsia="es-CU"/>
        </w:rPr>
        <w:t>.</w:t>
      </w:r>
    </w:p>
    <w:p w14:paraId="3A274A3C" w14:textId="391F8A8E" w:rsidR="00F4045B" w:rsidRDefault="00F4045B" w:rsidP="003D6019">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 xml:space="preserve">La planificación estratégica clásica en el ámbito local ha tendido a enfocarse en la elaboración de planes de desarrollo a tres o cuatro años (coincidentes con los periodos de gobierno). Esta temporalidad cortoplacista fragmenta la visión de largo plazo del territorio. La </w:t>
      </w:r>
      <w:r w:rsidRPr="00F4045B">
        <w:rPr>
          <w:rFonts w:ascii="Arial" w:eastAsia="Times New Roman" w:hAnsi="Arial" w:cs="Arial"/>
          <w:b/>
          <w:bCs/>
          <w:sz w:val="24"/>
          <w:szCs w:val="24"/>
          <w:lang w:eastAsia="es-CU"/>
        </w:rPr>
        <w:t>prospectiva territorial</w:t>
      </w:r>
      <w:r w:rsidRPr="00F4045B">
        <w:rPr>
          <w:rFonts w:ascii="Arial" w:eastAsia="Times New Roman" w:hAnsi="Arial" w:cs="Arial"/>
          <w:sz w:val="24"/>
          <w:szCs w:val="24"/>
          <w:lang w:eastAsia="es-CU"/>
        </w:rPr>
        <w:t xml:space="preserve">, enmarcada en la escuela voluntarista del pensamiento estratégico, plantea que el futuro no es un destino predeterminado, sino un abanico de construcciones posibles sobre las cuales se puede influir desde el presente. </w:t>
      </w:r>
    </w:p>
    <w:p w14:paraId="4B5D30BA" w14:textId="77777777" w:rsidR="00E80B10" w:rsidRPr="00E80B10" w:rsidRDefault="00E80B10" w:rsidP="003D6019">
      <w:pPr>
        <w:spacing w:after="0" w:line="240" w:lineRule="auto"/>
        <w:rPr>
          <w:rFonts w:ascii="Arial" w:eastAsia="Times New Roman" w:hAnsi="Arial" w:cs="Arial"/>
          <w:sz w:val="24"/>
          <w:szCs w:val="24"/>
          <w:lang w:eastAsia="es-CU"/>
        </w:rPr>
      </w:pPr>
      <w:r w:rsidRPr="00E80B10">
        <w:rPr>
          <w:rFonts w:ascii="Arial" w:eastAsia="Times New Roman" w:hAnsi="Arial" w:cs="Arial"/>
          <w:sz w:val="24"/>
          <w:szCs w:val="24"/>
          <w:lang w:eastAsia="es-CU"/>
        </w:rPr>
        <w:t>Construir escenarios prospectivos en el entorno municipal implica:</w:t>
      </w:r>
    </w:p>
    <w:p w14:paraId="51232AE8" w14:textId="77777777" w:rsidR="00E80B10" w:rsidRPr="00E80B10" w:rsidRDefault="00E80B10" w:rsidP="003D6019">
      <w:pPr>
        <w:numPr>
          <w:ilvl w:val="0"/>
          <w:numId w:val="12"/>
        </w:numPr>
        <w:spacing w:after="0" w:line="240" w:lineRule="auto"/>
        <w:rPr>
          <w:rFonts w:ascii="Arial" w:eastAsia="Times New Roman" w:hAnsi="Arial" w:cs="Arial"/>
          <w:sz w:val="24"/>
          <w:szCs w:val="24"/>
          <w:lang w:eastAsia="es-CU"/>
        </w:rPr>
      </w:pPr>
      <w:r w:rsidRPr="00E80B10">
        <w:rPr>
          <w:rFonts w:ascii="Arial" w:eastAsia="Times New Roman" w:hAnsi="Arial" w:cs="Arial"/>
          <w:sz w:val="24"/>
          <w:szCs w:val="24"/>
          <w:lang w:eastAsia="es-CU"/>
        </w:rPr>
        <w:t>Identificar las variables clave y las fuerzas motrices profundas de naturaleza social, económica, tecnológica y ambiental que dinamizan el territorio.</w:t>
      </w:r>
    </w:p>
    <w:p w14:paraId="4D31F03B" w14:textId="77777777" w:rsidR="00E80B10" w:rsidRPr="00E80B10" w:rsidRDefault="00E80B10" w:rsidP="003D6019">
      <w:pPr>
        <w:numPr>
          <w:ilvl w:val="0"/>
          <w:numId w:val="12"/>
        </w:numPr>
        <w:spacing w:after="0" w:line="240" w:lineRule="auto"/>
        <w:rPr>
          <w:rFonts w:ascii="Arial" w:eastAsia="Times New Roman" w:hAnsi="Arial" w:cs="Arial"/>
          <w:sz w:val="24"/>
          <w:szCs w:val="24"/>
          <w:lang w:eastAsia="es-CU"/>
        </w:rPr>
      </w:pPr>
      <w:r w:rsidRPr="00E80B10">
        <w:rPr>
          <w:rFonts w:ascii="Arial" w:eastAsia="Times New Roman" w:hAnsi="Arial" w:cs="Arial"/>
          <w:sz w:val="24"/>
          <w:szCs w:val="24"/>
          <w:lang w:eastAsia="es-CU"/>
        </w:rPr>
        <w:t>Diseñar trayectorias alternativas y contrastadas que permitan a los gobiernos locales mitigar riesgos catastróficos, anticipar crisis y potenciar oportunidades endógenas.</w:t>
      </w:r>
    </w:p>
    <w:p w14:paraId="0FD9DB22" w14:textId="77777777" w:rsidR="00E80B10" w:rsidRPr="00E80B10" w:rsidRDefault="00E80B10" w:rsidP="003D6019">
      <w:pPr>
        <w:numPr>
          <w:ilvl w:val="0"/>
          <w:numId w:val="12"/>
        </w:numPr>
        <w:spacing w:after="0" w:line="240" w:lineRule="auto"/>
        <w:rPr>
          <w:rFonts w:ascii="Arial" w:eastAsia="Times New Roman" w:hAnsi="Arial" w:cs="Arial"/>
          <w:sz w:val="24"/>
          <w:szCs w:val="24"/>
          <w:lang w:eastAsia="es-CU"/>
        </w:rPr>
      </w:pPr>
      <w:r w:rsidRPr="00E80B10">
        <w:rPr>
          <w:rFonts w:ascii="Arial" w:eastAsia="Times New Roman" w:hAnsi="Arial" w:cs="Arial"/>
          <w:sz w:val="24"/>
          <w:szCs w:val="24"/>
          <w:lang w:eastAsia="es-CU"/>
        </w:rPr>
        <w:t>Superar la visión inercial del territorio, asumiendo que la incertidumbre contemporánea no se gestiona con certidumbres falsas, sino con flexibilidad estratégica y capacidad de adaptación continua.</w:t>
      </w:r>
    </w:p>
    <w:p w14:paraId="1057A4CF" w14:textId="0F918FA1" w:rsidR="00F4045B" w:rsidRPr="00F4045B" w:rsidRDefault="00F4045B" w:rsidP="003D6019">
      <w:pPr>
        <w:spacing w:after="0" w:line="240" w:lineRule="auto"/>
        <w:jc w:val="both"/>
        <w:rPr>
          <w:rFonts w:ascii="Arial" w:eastAsia="Times New Roman" w:hAnsi="Arial" w:cs="Arial"/>
          <w:b/>
          <w:bCs/>
          <w:sz w:val="24"/>
          <w:szCs w:val="24"/>
          <w:lang w:eastAsia="es-CU"/>
        </w:rPr>
      </w:pPr>
      <w:r w:rsidRPr="00F4045B">
        <w:rPr>
          <w:rFonts w:ascii="Arial" w:eastAsia="Times New Roman" w:hAnsi="Arial" w:cs="Arial"/>
          <w:b/>
          <w:bCs/>
          <w:sz w:val="24"/>
          <w:szCs w:val="24"/>
          <w:lang w:eastAsia="es-CU"/>
        </w:rPr>
        <w:t>El Rol de la Ciencia de Datos en el Sector Público</w:t>
      </w:r>
      <w:r w:rsidR="00EE5921">
        <w:rPr>
          <w:rFonts w:ascii="Arial" w:eastAsia="Times New Roman" w:hAnsi="Arial" w:cs="Arial"/>
          <w:b/>
          <w:bCs/>
          <w:sz w:val="24"/>
          <w:szCs w:val="24"/>
          <w:lang w:eastAsia="es-CU"/>
        </w:rPr>
        <w:t>.</w:t>
      </w:r>
    </w:p>
    <w:p w14:paraId="0D5A57D8" w14:textId="77777777" w:rsidR="00F4045B" w:rsidRPr="00F4045B" w:rsidRDefault="00F4045B" w:rsidP="003D6019">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 xml:space="preserve">La ciencia de datos agrupa técnicas estadísticas avanzadas, minería de datos y algoritmos de </w:t>
      </w:r>
      <w:r w:rsidRPr="00F4045B">
        <w:rPr>
          <w:rFonts w:ascii="Arial" w:eastAsia="Times New Roman" w:hAnsi="Arial" w:cs="Arial"/>
          <w:b/>
          <w:bCs/>
          <w:sz w:val="24"/>
          <w:szCs w:val="24"/>
          <w:lang w:eastAsia="es-CU"/>
        </w:rPr>
        <w:t>aprendizaje automático</w:t>
      </w:r>
      <w:r w:rsidRPr="00F4045B">
        <w:rPr>
          <w:rFonts w:ascii="Arial" w:eastAsia="Times New Roman" w:hAnsi="Arial" w:cs="Arial"/>
          <w:sz w:val="24"/>
          <w:szCs w:val="24"/>
          <w:lang w:eastAsia="es-CU"/>
        </w:rPr>
        <w:t xml:space="preserve"> (</w:t>
      </w:r>
      <w:r w:rsidRPr="00F4045B">
        <w:rPr>
          <w:rFonts w:ascii="Arial" w:eastAsia="Times New Roman" w:hAnsi="Arial" w:cs="Arial"/>
          <w:i/>
          <w:iCs/>
          <w:sz w:val="24"/>
          <w:szCs w:val="24"/>
          <w:lang w:eastAsia="es-CU"/>
        </w:rPr>
        <w:t>Machine Learning</w:t>
      </w:r>
      <w:r w:rsidRPr="00F4045B">
        <w:rPr>
          <w:rFonts w:ascii="Arial" w:eastAsia="Times New Roman" w:hAnsi="Arial" w:cs="Arial"/>
          <w:sz w:val="24"/>
          <w:szCs w:val="24"/>
          <w:lang w:eastAsia="es-CU"/>
        </w:rPr>
        <w:t>) orientados a extraer conocimiento útil a partir de grandes volúmenes de información. En el ecosistema municipal, la incorporación de la ciencia de datos permite superar las limitaciones de la información oficial tradicional (que suele ser costosa, desactualizada y agregada). Mediante el uso de modelos predictivos, redes neuronales y análisis geoespacial, los gobiernos locales pueden modelar fenómenos complejos con alta resolución espacial y temporal.</w:t>
      </w:r>
    </w:p>
    <w:p w14:paraId="5DE8A740" w14:textId="4D8314E4" w:rsidR="00F4045B" w:rsidRPr="00F4045B" w:rsidRDefault="00F4045B" w:rsidP="00F4045B">
      <w:pPr>
        <w:spacing w:after="0" w:line="240" w:lineRule="auto"/>
        <w:jc w:val="both"/>
        <w:rPr>
          <w:rFonts w:ascii="Arial" w:eastAsia="Times New Roman" w:hAnsi="Arial" w:cs="Arial"/>
          <w:b/>
          <w:bCs/>
          <w:sz w:val="24"/>
          <w:szCs w:val="24"/>
          <w:lang w:eastAsia="es-CU"/>
        </w:rPr>
      </w:pPr>
      <w:r w:rsidRPr="00F4045B">
        <w:rPr>
          <w:rFonts w:ascii="Arial" w:eastAsia="Times New Roman" w:hAnsi="Arial" w:cs="Arial"/>
          <w:b/>
          <w:bCs/>
          <w:sz w:val="24"/>
          <w:szCs w:val="24"/>
          <w:lang w:eastAsia="es-CU"/>
        </w:rPr>
        <w:t>Metodología de Integración: Ciencia de Datos y Prospectiva</w:t>
      </w:r>
      <w:r w:rsidR="00EE5921">
        <w:rPr>
          <w:rFonts w:ascii="Arial" w:eastAsia="Times New Roman" w:hAnsi="Arial" w:cs="Arial"/>
          <w:b/>
          <w:bCs/>
          <w:sz w:val="24"/>
          <w:szCs w:val="24"/>
          <w:lang w:eastAsia="es-CU"/>
        </w:rPr>
        <w:t>.</w:t>
      </w:r>
    </w:p>
    <w:p w14:paraId="41651B6A" w14:textId="77777777" w:rsidR="00F4045B" w:rsidRPr="00F4045B" w:rsidRDefault="00F4045B" w:rsidP="00F4045B">
      <w:pPr>
        <w:spacing w:after="0" w:line="240" w:lineRule="auto"/>
        <w:jc w:val="both"/>
        <w:rPr>
          <w:rFonts w:ascii="Arial" w:eastAsia="Times New Roman" w:hAnsi="Arial" w:cs="Arial"/>
          <w:sz w:val="24"/>
          <w:szCs w:val="24"/>
          <w:lang w:eastAsia="es-CU"/>
        </w:rPr>
      </w:pPr>
      <w:r w:rsidRPr="00F4045B">
        <w:rPr>
          <w:rFonts w:ascii="Arial" w:eastAsia="Times New Roman" w:hAnsi="Arial" w:cs="Arial"/>
          <w:sz w:val="24"/>
          <w:szCs w:val="24"/>
          <w:lang w:eastAsia="es-CU"/>
        </w:rPr>
        <w:t>Para lograr una sinergia efectiva, se propone un marco metodológico estructurado en cuatro fases secuenciales que combinan el rigor analítico de los datos con la visión holística de la prospectiva:</w:t>
      </w:r>
    </w:p>
    <w:p w14:paraId="5ED99131" w14:textId="40B00F16" w:rsidR="00F4045B" w:rsidRPr="00EE5921" w:rsidRDefault="00F4045B" w:rsidP="00EE5921">
      <w:pPr>
        <w:pStyle w:val="Prrafodelista"/>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es-CU"/>
        </w:rPr>
      </w:pPr>
      <w:r w:rsidRPr="00EE5921">
        <w:rPr>
          <w:rFonts w:ascii="Arial" w:eastAsia="Times New Roman" w:hAnsi="Arial" w:cs="Arial"/>
          <w:sz w:val="24"/>
          <w:szCs w:val="24"/>
          <w:lang w:eastAsia="es-CU"/>
        </w:rPr>
        <w:t>Recopilación Masiva y Minería de Datos</w:t>
      </w:r>
    </w:p>
    <w:p w14:paraId="385EEE3A" w14:textId="3D3F887F" w:rsidR="00F4045B" w:rsidRPr="00EE5921" w:rsidRDefault="00F4045B" w:rsidP="00EE5921">
      <w:pPr>
        <w:pStyle w:val="Prrafodelista"/>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es-CU"/>
        </w:rPr>
      </w:pPr>
      <w:r w:rsidRPr="00EE5921">
        <w:rPr>
          <w:rFonts w:ascii="Arial" w:eastAsia="Times New Roman" w:hAnsi="Arial" w:cs="Arial"/>
          <w:sz w:val="24"/>
          <w:szCs w:val="24"/>
          <w:lang w:eastAsia="es-CU"/>
        </w:rPr>
        <w:t xml:space="preserve">Identificación de Fuerzas Motrices y Variables Clave </w:t>
      </w:r>
    </w:p>
    <w:p w14:paraId="0BA18025" w14:textId="288DA0F3" w:rsidR="00F4045B" w:rsidRPr="00EE5921" w:rsidRDefault="00F4045B" w:rsidP="00EE5921">
      <w:pPr>
        <w:pStyle w:val="Prrafodelista"/>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es-CU"/>
        </w:rPr>
      </w:pPr>
      <w:r w:rsidRPr="00EE5921">
        <w:rPr>
          <w:rFonts w:ascii="Arial" w:eastAsia="Times New Roman" w:hAnsi="Arial" w:cs="Arial"/>
          <w:sz w:val="24"/>
          <w:szCs w:val="24"/>
          <w:lang w:eastAsia="es-CU"/>
        </w:rPr>
        <w:t>Modelamiento Predictivo y Simulación de Escenarios</w:t>
      </w:r>
    </w:p>
    <w:p w14:paraId="01D97FFD" w14:textId="0FE66128" w:rsidR="00F4045B" w:rsidRDefault="00F4045B" w:rsidP="00EE5921">
      <w:pPr>
        <w:pStyle w:val="Prrafodelista"/>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es-CU"/>
        </w:rPr>
      </w:pPr>
      <w:r w:rsidRPr="00EE5921">
        <w:rPr>
          <w:rFonts w:ascii="Arial" w:eastAsia="Times New Roman" w:hAnsi="Arial" w:cs="Arial"/>
          <w:sz w:val="24"/>
          <w:szCs w:val="24"/>
          <w:lang w:eastAsia="es-CU"/>
        </w:rPr>
        <w:t>Traducción Estratégica y Toma de Decisiones</w:t>
      </w:r>
    </w:p>
    <w:p w14:paraId="100FC2B6" w14:textId="763C336F" w:rsidR="00F4045B" w:rsidRPr="00936176" w:rsidRDefault="00F4045B" w:rsidP="00936176">
      <w:pPr>
        <w:pStyle w:val="Prrafodelista"/>
        <w:numPr>
          <w:ilvl w:val="0"/>
          <w:numId w:val="9"/>
        </w:numPr>
        <w:spacing w:after="0" w:line="240" w:lineRule="auto"/>
        <w:jc w:val="both"/>
        <w:rPr>
          <w:rFonts w:ascii="Arial" w:eastAsia="Times New Roman" w:hAnsi="Arial" w:cs="Arial"/>
          <w:sz w:val="24"/>
          <w:szCs w:val="24"/>
          <w:lang w:eastAsia="es-CU"/>
        </w:rPr>
      </w:pPr>
      <w:r w:rsidRPr="00936176">
        <w:rPr>
          <w:rFonts w:ascii="Arial" w:eastAsia="Times New Roman" w:hAnsi="Arial" w:cs="Arial"/>
          <w:b/>
          <w:bCs/>
          <w:sz w:val="24"/>
          <w:szCs w:val="24"/>
          <w:lang w:eastAsia="es-CU"/>
        </w:rPr>
        <w:t>Fase de Recopilación Masiva y Minería de Datos</w:t>
      </w:r>
      <w:r w:rsidRPr="00936176">
        <w:rPr>
          <w:rFonts w:ascii="Arial" w:eastAsia="Times New Roman" w:hAnsi="Arial" w:cs="Arial"/>
          <w:sz w:val="24"/>
          <w:szCs w:val="24"/>
          <w:lang w:eastAsia="es-CU"/>
        </w:rPr>
        <w:t>:</w:t>
      </w:r>
      <w:r w:rsidR="00EE5921" w:rsidRPr="00936176">
        <w:rPr>
          <w:rFonts w:ascii="Arial" w:eastAsia="Times New Roman" w:hAnsi="Arial" w:cs="Arial"/>
          <w:sz w:val="24"/>
          <w:szCs w:val="24"/>
          <w:lang w:eastAsia="es-CU"/>
        </w:rPr>
        <w:t xml:space="preserve"> Dentro del flujo de ciencia de datos aplicado a la prospectiva), el objetivo principal es alimentar el modelo con materia prima de calidad. No se trata de acumular datos por acumular, sino de extraer, limpiar y transformar información heterogénea (tanto histórica como en tiempo real) para detectar patrones ocultos, tendencias y señales débiles que </w:t>
      </w:r>
      <w:r w:rsidR="00EE5921" w:rsidRPr="00936176">
        <w:rPr>
          <w:rFonts w:ascii="Arial" w:eastAsia="Times New Roman" w:hAnsi="Arial" w:cs="Arial"/>
          <w:sz w:val="24"/>
          <w:szCs w:val="24"/>
          <w:lang w:eastAsia="es-CU"/>
        </w:rPr>
        <w:lastRenderedPageBreak/>
        <w:t>luego servirán para construir los escenarios futuros. Integración de fuentes internas y externas (Big Data municipal), incluyendo bases de datos.</w:t>
      </w:r>
    </w:p>
    <w:p w14:paraId="47AD83A1" w14:textId="35691B61" w:rsidR="00F4045B" w:rsidRPr="00936176" w:rsidRDefault="00F4045B" w:rsidP="00936176">
      <w:pPr>
        <w:pStyle w:val="Prrafodelista"/>
        <w:numPr>
          <w:ilvl w:val="0"/>
          <w:numId w:val="9"/>
        </w:numPr>
        <w:spacing w:after="0" w:line="240" w:lineRule="auto"/>
        <w:jc w:val="both"/>
        <w:rPr>
          <w:rFonts w:ascii="Arial" w:eastAsia="Times New Roman" w:hAnsi="Arial" w:cs="Arial"/>
          <w:sz w:val="24"/>
          <w:szCs w:val="24"/>
          <w:lang w:eastAsia="es-CU"/>
        </w:rPr>
      </w:pPr>
      <w:r w:rsidRPr="00936176">
        <w:rPr>
          <w:rFonts w:ascii="Arial" w:eastAsia="Times New Roman" w:hAnsi="Arial" w:cs="Arial"/>
          <w:b/>
          <w:bCs/>
          <w:sz w:val="24"/>
          <w:szCs w:val="24"/>
          <w:lang w:eastAsia="es-CU"/>
        </w:rPr>
        <w:t>Fase de Identificación de Fuerzas Motrices (Reducción de Dimensionalidad):</w:t>
      </w:r>
      <w:r w:rsidRPr="00936176">
        <w:rPr>
          <w:rFonts w:ascii="Arial" w:eastAsia="Times New Roman" w:hAnsi="Arial" w:cs="Arial"/>
          <w:sz w:val="24"/>
          <w:szCs w:val="24"/>
          <w:lang w:eastAsia="es-CU"/>
        </w:rPr>
        <w:t xml:space="preserve"> Aplicación de algoritmos de aprendizaje (como análisis de componentes principales o clústering) y matrices de impactos cruzados para aislar las variables de mayor varianza e incertidumbre que rigen el desarrollo del municipio, sustituyendo la selección puramente intuitiva por evidencia cuantitativa.</w:t>
      </w:r>
    </w:p>
    <w:p w14:paraId="669F9B37" w14:textId="60EE9280" w:rsidR="00F4045B" w:rsidRPr="00936176" w:rsidRDefault="00F4045B" w:rsidP="00936176">
      <w:pPr>
        <w:pStyle w:val="Prrafodelista"/>
        <w:numPr>
          <w:ilvl w:val="0"/>
          <w:numId w:val="9"/>
        </w:numPr>
        <w:spacing w:after="0" w:line="240" w:lineRule="auto"/>
        <w:jc w:val="both"/>
        <w:rPr>
          <w:rFonts w:ascii="Arial" w:eastAsia="Times New Roman" w:hAnsi="Arial" w:cs="Arial"/>
          <w:sz w:val="24"/>
          <w:szCs w:val="24"/>
          <w:lang w:eastAsia="es-CU"/>
        </w:rPr>
      </w:pPr>
      <w:r w:rsidRPr="00936176">
        <w:rPr>
          <w:rFonts w:ascii="Arial" w:eastAsia="Times New Roman" w:hAnsi="Arial" w:cs="Arial"/>
          <w:b/>
          <w:bCs/>
          <w:sz w:val="24"/>
          <w:szCs w:val="24"/>
          <w:lang w:eastAsia="es-CU"/>
        </w:rPr>
        <w:t>Fase de Modelamiento Predictivo y Simulación de Escenarios:</w:t>
      </w:r>
      <w:r w:rsidRPr="00936176">
        <w:rPr>
          <w:rFonts w:ascii="Arial" w:eastAsia="Times New Roman" w:hAnsi="Arial" w:cs="Arial"/>
          <w:sz w:val="24"/>
          <w:szCs w:val="24"/>
          <w:lang w:eastAsia="es-CU"/>
        </w:rPr>
        <w:t xml:space="preserve"> Utilización de técnicas de modelación espacial, autómatas celulares y redes neuronales artificiales para simular escenarios a horizontes de 10 a 20 años.</w:t>
      </w:r>
    </w:p>
    <w:p w14:paraId="1412841F" w14:textId="657CBD71" w:rsidR="00F4045B" w:rsidRPr="00936176" w:rsidRDefault="00F4045B" w:rsidP="00936176">
      <w:pPr>
        <w:pStyle w:val="Prrafodelista"/>
        <w:numPr>
          <w:ilvl w:val="0"/>
          <w:numId w:val="9"/>
        </w:numPr>
        <w:spacing w:after="0" w:line="240" w:lineRule="auto"/>
        <w:jc w:val="both"/>
        <w:rPr>
          <w:rFonts w:ascii="Arial" w:eastAsia="Times New Roman" w:hAnsi="Arial" w:cs="Arial"/>
          <w:sz w:val="24"/>
          <w:szCs w:val="24"/>
          <w:lang w:eastAsia="es-CU"/>
        </w:rPr>
      </w:pPr>
      <w:r w:rsidRPr="00936176">
        <w:rPr>
          <w:rFonts w:ascii="Arial" w:eastAsia="Times New Roman" w:hAnsi="Arial" w:cs="Arial"/>
          <w:b/>
          <w:bCs/>
          <w:sz w:val="24"/>
          <w:szCs w:val="24"/>
          <w:lang w:eastAsia="es-CU"/>
        </w:rPr>
        <w:t>Fase de Traducción Estratégica:</w:t>
      </w:r>
      <w:r w:rsidRPr="00936176">
        <w:rPr>
          <w:rFonts w:ascii="Arial" w:eastAsia="Times New Roman" w:hAnsi="Arial" w:cs="Arial"/>
          <w:sz w:val="24"/>
          <w:szCs w:val="24"/>
          <w:lang w:eastAsia="es-CU"/>
        </w:rPr>
        <w:t xml:space="preserve"> Conversión de las simulaciones computacionales en narrativas cualitativas de escenarios, permitiendo a los tomadores de decisiones evaluar la robustez de las políticas públicas antes de su implementación física.</w:t>
      </w:r>
    </w:p>
    <w:p w14:paraId="25634565" w14:textId="2984B251" w:rsidR="00F4045B" w:rsidRPr="00F4045B" w:rsidRDefault="00024BD4" w:rsidP="00F4045B">
      <w:pPr>
        <w:spacing w:after="0" w:line="240" w:lineRule="auto"/>
        <w:jc w:val="both"/>
        <w:rPr>
          <w:rFonts w:ascii="Arial" w:eastAsia="Times New Roman" w:hAnsi="Arial" w:cs="Arial"/>
          <w:b/>
          <w:bCs/>
          <w:sz w:val="24"/>
          <w:szCs w:val="24"/>
          <w:lang w:eastAsia="es-CU"/>
        </w:rPr>
      </w:pPr>
      <w:r>
        <w:rPr>
          <w:rFonts w:ascii="Arial" w:eastAsia="Times New Roman" w:hAnsi="Arial" w:cs="Arial"/>
          <w:b/>
          <w:bCs/>
          <w:sz w:val="24"/>
          <w:szCs w:val="24"/>
          <w:lang w:eastAsia="es-CU"/>
        </w:rPr>
        <w:t xml:space="preserve">Los </w:t>
      </w:r>
      <w:r w:rsidR="00F4045B" w:rsidRPr="00F4045B">
        <w:rPr>
          <w:rFonts w:ascii="Arial" w:eastAsia="Times New Roman" w:hAnsi="Arial" w:cs="Arial"/>
          <w:b/>
          <w:bCs/>
          <w:sz w:val="24"/>
          <w:szCs w:val="24"/>
          <w:lang w:eastAsia="es-CU"/>
        </w:rPr>
        <w:t>Beneficios, Retos y Desafíos</w:t>
      </w:r>
      <w:r>
        <w:rPr>
          <w:rFonts w:ascii="Arial" w:eastAsia="Times New Roman" w:hAnsi="Arial" w:cs="Arial"/>
          <w:b/>
          <w:bCs/>
          <w:sz w:val="24"/>
          <w:szCs w:val="24"/>
          <w:lang w:eastAsia="es-CU"/>
        </w:rPr>
        <w:t>.</w:t>
      </w:r>
      <w:r w:rsidR="00F4045B" w:rsidRPr="00F4045B">
        <w:rPr>
          <w:rFonts w:ascii="Arial" w:eastAsia="Times New Roman" w:hAnsi="Arial" w:cs="Arial"/>
          <w:b/>
          <w:bCs/>
          <w:sz w:val="24"/>
          <w:szCs w:val="24"/>
          <w:lang w:eastAsia="es-CU"/>
        </w:rPr>
        <w:t xml:space="preserve"> </w:t>
      </w:r>
    </w:p>
    <w:p w14:paraId="6C6A0D01" w14:textId="7485E616" w:rsidR="00F4045B" w:rsidRPr="00024BD4" w:rsidRDefault="00936176" w:rsidP="00F4045B">
      <w:pPr>
        <w:spacing w:after="0" w:line="240" w:lineRule="auto"/>
        <w:jc w:val="both"/>
        <w:rPr>
          <w:rFonts w:ascii="Arial" w:eastAsia="Times New Roman" w:hAnsi="Arial" w:cs="Arial"/>
          <w:b/>
          <w:bCs/>
          <w:sz w:val="24"/>
          <w:szCs w:val="24"/>
          <w:lang w:eastAsia="es-CU"/>
        </w:rPr>
      </w:pPr>
      <w:r w:rsidRPr="00024BD4">
        <w:rPr>
          <w:rFonts w:ascii="Arial" w:eastAsia="Times New Roman" w:hAnsi="Arial" w:cs="Arial"/>
          <w:b/>
          <w:bCs/>
          <w:sz w:val="24"/>
          <w:szCs w:val="24"/>
          <w:lang w:eastAsia="es-CU"/>
        </w:rPr>
        <w:t xml:space="preserve">Entre los </w:t>
      </w:r>
      <w:r w:rsidR="00F4045B" w:rsidRPr="00024BD4">
        <w:rPr>
          <w:rFonts w:ascii="Arial" w:eastAsia="Times New Roman" w:hAnsi="Arial" w:cs="Arial"/>
          <w:b/>
          <w:bCs/>
          <w:sz w:val="24"/>
          <w:szCs w:val="24"/>
          <w:lang w:eastAsia="es-CU"/>
        </w:rPr>
        <w:t>Beneficios Clave para la Gestión Municipal</w:t>
      </w:r>
      <w:r w:rsidR="004A7357" w:rsidRPr="00024BD4">
        <w:rPr>
          <w:rFonts w:ascii="Arial" w:eastAsia="Times New Roman" w:hAnsi="Arial" w:cs="Arial"/>
          <w:b/>
          <w:bCs/>
          <w:sz w:val="24"/>
          <w:szCs w:val="24"/>
          <w:lang w:eastAsia="es-CU"/>
        </w:rPr>
        <w:t>:</w:t>
      </w:r>
    </w:p>
    <w:p w14:paraId="3B81CCFC" w14:textId="62B993DB"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Optimización en la asignación de recursos:</w:t>
      </w:r>
      <w:r w:rsidRPr="00F4045B">
        <w:rPr>
          <w:rFonts w:ascii="Arial" w:eastAsia="Times New Roman" w:hAnsi="Arial" w:cs="Arial"/>
          <w:sz w:val="24"/>
          <w:szCs w:val="24"/>
          <w:lang w:eastAsia="es-CU"/>
        </w:rPr>
        <w:t xml:space="preserve"> La simulación basada en datos permite identificar con precisión milimétrica las zonas prioritarias para inversión en infraestructura, evitando la asignación ineficiente de presupuestos.</w:t>
      </w:r>
    </w:p>
    <w:p w14:paraId="7DA1AF7E" w14:textId="77777777"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Mitigación de la incertidumbre:</w:t>
      </w:r>
      <w:r w:rsidRPr="00F4045B">
        <w:rPr>
          <w:rFonts w:ascii="Arial" w:eastAsia="Times New Roman" w:hAnsi="Arial" w:cs="Arial"/>
          <w:sz w:val="24"/>
          <w:szCs w:val="24"/>
          <w:lang w:eastAsia="es-CU"/>
        </w:rPr>
        <w:t xml:space="preserve"> Al evaluar políticas bajo múltiples escenarios futuros, el municipio diseña estrategias flexibles capaces de adaptarse a crisis económicas, sanitarias o climáticas.</w:t>
      </w:r>
    </w:p>
    <w:p w14:paraId="3ED66DB5" w14:textId="77777777"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Gobernanza basada en evidencias:</w:t>
      </w:r>
      <w:r w:rsidRPr="00F4045B">
        <w:rPr>
          <w:rFonts w:ascii="Arial" w:eastAsia="Times New Roman" w:hAnsi="Arial" w:cs="Arial"/>
          <w:sz w:val="24"/>
          <w:szCs w:val="24"/>
          <w:lang w:eastAsia="es-CU"/>
        </w:rPr>
        <w:t xml:space="preserve"> Incrementa la transparencia y la rendición de cuentas, legitimando los planes de desarrollo ante la ciudadanía mediante tableros de control abiertos y transparentes.</w:t>
      </w:r>
    </w:p>
    <w:p w14:paraId="433B9930" w14:textId="614B3AC1" w:rsidR="00F4045B" w:rsidRPr="00024BD4" w:rsidRDefault="00024BD4" w:rsidP="00024BD4">
      <w:pPr>
        <w:spacing w:after="0" w:line="240" w:lineRule="auto"/>
        <w:jc w:val="both"/>
        <w:rPr>
          <w:rFonts w:ascii="Arial" w:eastAsia="Times New Roman" w:hAnsi="Arial" w:cs="Arial"/>
          <w:b/>
          <w:bCs/>
          <w:sz w:val="24"/>
          <w:szCs w:val="24"/>
          <w:lang w:eastAsia="es-CU"/>
        </w:rPr>
      </w:pPr>
      <w:r>
        <w:rPr>
          <w:rFonts w:ascii="Arial" w:eastAsia="Times New Roman" w:hAnsi="Arial" w:cs="Arial"/>
          <w:b/>
          <w:bCs/>
          <w:sz w:val="24"/>
          <w:szCs w:val="24"/>
          <w:lang w:eastAsia="es-CU"/>
        </w:rPr>
        <w:t xml:space="preserve">Entre los </w:t>
      </w:r>
      <w:r w:rsidR="00F4045B" w:rsidRPr="00024BD4">
        <w:rPr>
          <w:rFonts w:ascii="Arial" w:eastAsia="Times New Roman" w:hAnsi="Arial" w:cs="Arial"/>
          <w:b/>
          <w:bCs/>
          <w:sz w:val="24"/>
          <w:szCs w:val="24"/>
          <w:lang w:eastAsia="es-CU"/>
        </w:rPr>
        <w:t>Retos de Implementación en Gobiernos Locales</w:t>
      </w:r>
      <w:r>
        <w:rPr>
          <w:rFonts w:ascii="Arial" w:eastAsia="Times New Roman" w:hAnsi="Arial" w:cs="Arial"/>
          <w:b/>
          <w:bCs/>
          <w:sz w:val="24"/>
          <w:szCs w:val="24"/>
          <w:lang w:eastAsia="es-CU"/>
        </w:rPr>
        <w:t>:</w:t>
      </w:r>
    </w:p>
    <w:p w14:paraId="60709782" w14:textId="77777777" w:rsidR="00F4045B" w:rsidRPr="004A7357" w:rsidRDefault="00F4045B" w:rsidP="004A7357">
      <w:pPr>
        <w:pStyle w:val="Prrafodelista"/>
        <w:numPr>
          <w:ilvl w:val="0"/>
          <w:numId w:val="10"/>
        </w:numPr>
        <w:spacing w:after="0" w:line="240" w:lineRule="auto"/>
        <w:jc w:val="both"/>
        <w:rPr>
          <w:rFonts w:ascii="Arial" w:eastAsia="Times New Roman" w:hAnsi="Arial" w:cs="Arial"/>
          <w:sz w:val="24"/>
          <w:szCs w:val="24"/>
          <w:lang w:eastAsia="es-CU"/>
        </w:rPr>
      </w:pPr>
      <w:r w:rsidRPr="004A7357">
        <w:rPr>
          <w:rFonts w:ascii="Arial" w:eastAsia="Times New Roman" w:hAnsi="Arial" w:cs="Arial"/>
          <w:sz w:val="24"/>
          <w:szCs w:val="24"/>
          <w:lang w:eastAsia="es-CU"/>
        </w:rPr>
        <w:t>A pesar de su alto valor potencial, la vinculación entre ciencia de datos y prospectiva enfrenta barreras críticas en los gobiernos municipales:</w:t>
      </w:r>
    </w:p>
    <w:p w14:paraId="5A714498" w14:textId="77777777"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Brecha de capacidades técnicas:</w:t>
      </w:r>
      <w:r w:rsidRPr="00F4045B">
        <w:rPr>
          <w:rFonts w:ascii="Arial" w:eastAsia="Times New Roman" w:hAnsi="Arial" w:cs="Arial"/>
          <w:sz w:val="24"/>
          <w:szCs w:val="24"/>
          <w:lang w:eastAsia="es-CU"/>
        </w:rPr>
        <w:t xml:space="preserve"> Los municipios, especialmente en ciudades intermedias o pequeñas, carecen de equipos interdisciplinarios que combinen científicos de datos, urbanistas y expertos en prospectiva.</w:t>
      </w:r>
    </w:p>
    <w:p w14:paraId="46616A6A" w14:textId="55E3700C"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Silos de información:</w:t>
      </w:r>
      <w:r w:rsidRPr="00F4045B">
        <w:rPr>
          <w:rFonts w:ascii="Arial" w:eastAsia="Times New Roman" w:hAnsi="Arial" w:cs="Arial"/>
          <w:sz w:val="24"/>
          <w:szCs w:val="24"/>
          <w:lang w:eastAsia="es-CU"/>
        </w:rPr>
        <w:t xml:space="preserve"> La fragmentación institucional genera bases de datos desconectadas</w:t>
      </w:r>
      <w:r w:rsidR="00024BD4">
        <w:rPr>
          <w:rFonts w:ascii="Arial" w:eastAsia="Times New Roman" w:hAnsi="Arial" w:cs="Arial"/>
          <w:sz w:val="24"/>
          <w:szCs w:val="24"/>
          <w:lang w:eastAsia="es-CU"/>
        </w:rPr>
        <w:t>.</w:t>
      </w:r>
      <w:r w:rsidRPr="00F4045B">
        <w:rPr>
          <w:rFonts w:ascii="Arial" w:eastAsia="Times New Roman" w:hAnsi="Arial" w:cs="Arial"/>
          <w:sz w:val="24"/>
          <w:szCs w:val="24"/>
          <w:lang w:eastAsia="es-CU"/>
        </w:rPr>
        <w:t xml:space="preserve"> </w:t>
      </w:r>
    </w:p>
    <w:p w14:paraId="223C2D44" w14:textId="77777777" w:rsidR="00F4045B" w:rsidRPr="00F4045B" w:rsidRDefault="00F4045B" w:rsidP="004A7357">
      <w:pPr>
        <w:numPr>
          <w:ilvl w:val="0"/>
          <w:numId w:val="10"/>
        </w:numPr>
        <w:spacing w:after="0" w:line="240" w:lineRule="auto"/>
        <w:jc w:val="both"/>
        <w:rPr>
          <w:rFonts w:ascii="Arial" w:eastAsia="Times New Roman" w:hAnsi="Arial" w:cs="Arial"/>
          <w:sz w:val="24"/>
          <w:szCs w:val="24"/>
          <w:lang w:eastAsia="es-CU"/>
        </w:rPr>
      </w:pPr>
      <w:r w:rsidRPr="00F4045B">
        <w:rPr>
          <w:rFonts w:ascii="Arial" w:eastAsia="Times New Roman" w:hAnsi="Arial" w:cs="Arial"/>
          <w:b/>
          <w:bCs/>
          <w:sz w:val="24"/>
          <w:szCs w:val="24"/>
          <w:lang w:eastAsia="es-CU"/>
        </w:rPr>
        <w:t>Sesgo algorítmico y ética de datos:</w:t>
      </w:r>
      <w:r w:rsidRPr="00F4045B">
        <w:rPr>
          <w:rFonts w:ascii="Arial" w:eastAsia="Times New Roman" w:hAnsi="Arial" w:cs="Arial"/>
          <w:sz w:val="24"/>
          <w:szCs w:val="24"/>
          <w:lang w:eastAsia="es-CU"/>
        </w:rPr>
        <w:t xml:space="preserve"> El uso de modelos predictivos basados en datos históricos puede reproducir o amplificar sesgos de discriminación socioespacial si no se implementan marcos de gobernanza de datos éticos e inclusivos.</w:t>
      </w:r>
    </w:p>
    <w:p w14:paraId="4C7DA457" w14:textId="77777777" w:rsidR="003D6019" w:rsidRDefault="003D6019" w:rsidP="00F4045B">
      <w:pPr>
        <w:spacing w:after="0" w:line="240" w:lineRule="auto"/>
        <w:jc w:val="both"/>
        <w:rPr>
          <w:rFonts w:ascii="Arial" w:eastAsia="Times New Roman" w:hAnsi="Arial" w:cs="Arial"/>
          <w:b/>
          <w:bCs/>
          <w:sz w:val="24"/>
          <w:szCs w:val="24"/>
          <w:lang w:eastAsia="es-CU"/>
        </w:rPr>
      </w:pPr>
    </w:p>
    <w:p w14:paraId="79A14B7D" w14:textId="3B126A1D" w:rsidR="00F4045B" w:rsidRPr="00F4045B" w:rsidRDefault="00F4045B" w:rsidP="00F4045B">
      <w:pPr>
        <w:spacing w:after="0" w:line="240" w:lineRule="auto"/>
        <w:jc w:val="both"/>
        <w:rPr>
          <w:rFonts w:ascii="Arial" w:eastAsia="Times New Roman" w:hAnsi="Arial" w:cs="Arial"/>
          <w:b/>
          <w:bCs/>
          <w:sz w:val="24"/>
          <w:szCs w:val="24"/>
          <w:lang w:eastAsia="es-CU"/>
        </w:rPr>
      </w:pPr>
      <w:r w:rsidRPr="00F4045B">
        <w:rPr>
          <w:rFonts w:ascii="Arial" w:eastAsia="Times New Roman" w:hAnsi="Arial" w:cs="Arial"/>
          <w:b/>
          <w:bCs/>
          <w:sz w:val="24"/>
          <w:szCs w:val="24"/>
          <w:lang w:eastAsia="es-CU"/>
        </w:rPr>
        <w:t xml:space="preserve">Conclusiones </w:t>
      </w:r>
    </w:p>
    <w:p w14:paraId="3BD9E6AF" w14:textId="77777777" w:rsidR="00F4045B" w:rsidRPr="00024BD4" w:rsidRDefault="00F4045B" w:rsidP="009E0198">
      <w:pPr>
        <w:pStyle w:val="Prrafodelista"/>
        <w:numPr>
          <w:ilvl w:val="0"/>
          <w:numId w:val="11"/>
        </w:numPr>
        <w:spacing w:after="0" w:line="240" w:lineRule="auto"/>
        <w:jc w:val="both"/>
        <w:rPr>
          <w:rFonts w:ascii="Arial" w:eastAsia="Times New Roman" w:hAnsi="Arial" w:cs="Arial"/>
          <w:sz w:val="24"/>
          <w:szCs w:val="24"/>
          <w:lang w:eastAsia="es-CU"/>
        </w:rPr>
      </w:pPr>
      <w:r w:rsidRPr="00024BD4">
        <w:rPr>
          <w:rFonts w:ascii="Arial" w:eastAsia="Times New Roman" w:hAnsi="Arial" w:cs="Arial"/>
          <w:sz w:val="24"/>
          <w:szCs w:val="24"/>
          <w:lang w:eastAsia="es-CU"/>
        </w:rPr>
        <w:t>La vinculación de la ciencia de datos con la construcción de escenarios prospectivos representa un salto cualitativo indispensable para la modernización de la planificación estratégica municipal. Dejar atrás la planeación reactiva e intuitiva para adoptar modelos fundamentados en analítica avanzada y visión de futuro fortalece la resiliencia institucional frente a la complejidad urbana global.</w:t>
      </w:r>
    </w:p>
    <w:p w14:paraId="2770C25F" w14:textId="31E76428" w:rsidR="009B798B" w:rsidRPr="009E0198" w:rsidRDefault="009B798B" w:rsidP="009E0198">
      <w:pPr>
        <w:pStyle w:val="NormalWeb"/>
        <w:numPr>
          <w:ilvl w:val="0"/>
          <w:numId w:val="11"/>
        </w:numPr>
        <w:spacing w:before="0" w:beforeAutospacing="0" w:after="0" w:afterAutospacing="0"/>
        <w:jc w:val="both"/>
        <w:rPr>
          <w:rFonts w:ascii="Arial" w:hAnsi="Arial" w:cs="Arial"/>
        </w:rPr>
      </w:pPr>
      <w:r w:rsidRPr="009E0198">
        <w:rPr>
          <w:rFonts w:ascii="Arial" w:hAnsi="Arial" w:cs="Arial"/>
        </w:rPr>
        <w:t>Desde la perspectiva del salto metodológico (Sustitución de la intuición por rigor analítico):</w:t>
      </w:r>
    </w:p>
    <w:p w14:paraId="2BDD8D81" w14:textId="77777777" w:rsidR="009B798B" w:rsidRPr="009E0198" w:rsidRDefault="009B798B" w:rsidP="009E0198">
      <w:pPr>
        <w:pStyle w:val="NormalWeb"/>
        <w:spacing w:before="0" w:beforeAutospacing="0" w:after="0" w:afterAutospacing="0"/>
        <w:ind w:left="720"/>
        <w:jc w:val="both"/>
        <w:rPr>
          <w:rFonts w:ascii="Arial" w:hAnsi="Arial" w:cs="Arial"/>
        </w:rPr>
      </w:pPr>
      <w:r w:rsidRPr="009E0198">
        <w:rPr>
          <w:rFonts w:ascii="Arial" w:hAnsi="Arial" w:cs="Arial"/>
        </w:rPr>
        <w:lastRenderedPageBreak/>
        <w:t>La integración metodológica propuesta demuestra que es posible superar las limitaciones de la subjetividad experta en la prospectiva tradicional. Al incorporar algoritmos de reducción de dimensionalidad y aprendizaje automático, la selección de variables clave e incertidumbres críticas deja de depender exclusivamente de juicios intuitivos, adquiriendo un fundamento cuantitativo, replicable y espacialmente desagregado que mejora la precisión de los escenarios municipales.</w:t>
      </w:r>
    </w:p>
    <w:p w14:paraId="6D8A6347" w14:textId="2E45A3E4" w:rsidR="009B798B" w:rsidRPr="009E0198" w:rsidRDefault="009B798B" w:rsidP="009E0198">
      <w:pPr>
        <w:pStyle w:val="NormalWeb"/>
        <w:numPr>
          <w:ilvl w:val="0"/>
          <w:numId w:val="11"/>
        </w:numPr>
        <w:spacing w:before="0" w:beforeAutospacing="0" w:after="0" w:afterAutospacing="0"/>
        <w:jc w:val="both"/>
        <w:rPr>
          <w:rFonts w:ascii="Arial" w:hAnsi="Arial" w:cs="Arial"/>
        </w:rPr>
      </w:pPr>
      <w:r w:rsidRPr="009E0198">
        <w:rPr>
          <w:rFonts w:ascii="Arial" w:hAnsi="Arial" w:cs="Arial"/>
        </w:rPr>
        <w:t>Desde la perspectiva de la gestión del riesgo y resiliencia urbana:</w:t>
      </w:r>
    </w:p>
    <w:p w14:paraId="710F9DB1" w14:textId="3A2AD898" w:rsidR="009B798B" w:rsidRDefault="009B798B" w:rsidP="009E0198">
      <w:pPr>
        <w:pStyle w:val="NormalWeb"/>
        <w:spacing w:before="0" w:beforeAutospacing="0" w:after="0" w:afterAutospacing="0"/>
        <w:ind w:left="720"/>
        <w:jc w:val="both"/>
        <w:rPr>
          <w:rFonts w:ascii="Arial" w:hAnsi="Arial" w:cs="Arial"/>
        </w:rPr>
      </w:pPr>
      <w:r w:rsidRPr="009E0198">
        <w:rPr>
          <w:rFonts w:ascii="Arial" w:hAnsi="Arial" w:cs="Arial"/>
        </w:rPr>
        <w:t>La aplicación de modelos de simulación basados en Ciencia de Datos permite transformar la gestión local de un enfoque reactivo (orientado a la mitigación de crisis) a un paradigma proactivo y adaptativo. Esto dota a los gobiernos municipales de la capacidad de evaluar ex-ante la resiliencia de sus políticas públicas frente a fenómenos disruptivos</w:t>
      </w:r>
      <w:r w:rsidR="009E0198" w:rsidRPr="009E0198">
        <w:rPr>
          <w:rFonts w:ascii="Arial" w:hAnsi="Arial" w:cs="Arial"/>
        </w:rPr>
        <w:t xml:space="preserve"> </w:t>
      </w:r>
      <w:r w:rsidRPr="009E0198">
        <w:rPr>
          <w:rFonts w:ascii="Arial" w:hAnsi="Arial" w:cs="Arial"/>
        </w:rPr>
        <w:t>en horizontes de mediano y largo plazo.</w:t>
      </w:r>
    </w:p>
    <w:p w14:paraId="7F2175B9" w14:textId="0C692E88" w:rsidR="009B798B" w:rsidRPr="009E0198" w:rsidRDefault="009B798B" w:rsidP="009E0198">
      <w:pPr>
        <w:pStyle w:val="NormalWeb"/>
        <w:numPr>
          <w:ilvl w:val="0"/>
          <w:numId w:val="11"/>
        </w:numPr>
        <w:spacing w:before="0" w:beforeAutospacing="0" w:after="0" w:afterAutospacing="0"/>
        <w:jc w:val="both"/>
        <w:rPr>
          <w:rFonts w:ascii="Arial" w:hAnsi="Arial" w:cs="Arial"/>
        </w:rPr>
      </w:pPr>
      <w:r w:rsidRPr="009E0198">
        <w:rPr>
          <w:rFonts w:ascii="Arial" w:hAnsi="Arial" w:cs="Arial"/>
        </w:rPr>
        <w:t>Desde la perspectiva de la viabilidad institucional y gobernanza abierta:</w:t>
      </w:r>
    </w:p>
    <w:p w14:paraId="41AE4619" w14:textId="77777777" w:rsidR="009B798B" w:rsidRPr="009E0198" w:rsidRDefault="009B798B" w:rsidP="009E0198">
      <w:pPr>
        <w:pStyle w:val="NormalWeb"/>
        <w:spacing w:before="0" w:beforeAutospacing="0" w:after="0" w:afterAutospacing="0"/>
        <w:ind w:left="720"/>
        <w:jc w:val="both"/>
        <w:rPr>
          <w:rFonts w:ascii="Arial" w:hAnsi="Arial" w:cs="Arial"/>
        </w:rPr>
      </w:pPr>
      <w:r w:rsidRPr="009E0198">
        <w:rPr>
          <w:rFonts w:ascii="Arial" w:hAnsi="Arial" w:cs="Arial"/>
        </w:rPr>
        <w:t>La viabilidad práctica del modelo conceptual no depende únicamente de la sofisticación tecnológica de los algoritmos predictivos, sino de la superación de los silos de información institucional y del desarrollo de una cultura de datos abiertos. La transparencia en los flujos de información y el uso de tableros de control fortalecen la rendición de cuentas, incrementando la legitimidad y la confianza ciudadana en los planes de desarrollo territorial.</w:t>
      </w:r>
    </w:p>
    <w:p w14:paraId="55C40BB7" w14:textId="0F1ED3BC" w:rsidR="009B798B" w:rsidRPr="009E0198" w:rsidRDefault="009B798B" w:rsidP="009E0198">
      <w:pPr>
        <w:pStyle w:val="NormalWeb"/>
        <w:numPr>
          <w:ilvl w:val="0"/>
          <w:numId w:val="11"/>
        </w:numPr>
        <w:spacing w:before="0" w:beforeAutospacing="0" w:after="0" w:afterAutospacing="0"/>
        <w:jc w:val="both"/>
        <w:rPr>
          <w:rFonts w:ascii="Arial" w:hAnsi="Arial" w:cs="Arial"/>
        </w:rPr>
      </w:pPr>
      <w:r w:rsidRPr="009E0198">
        <w:rPr>
          <w:rFonts w:ascii="Arial" w:hAnsi="Arial" w:cs="Arial"/>
        </w:rPr>
        <w:t>Desde la perspectiva de la equidad territorial y la ética algorítmica:</w:t>
      </w:r>
    </w:p>
    <w:p w14:paraId="5D025521" w14:textId="77777777" w:rsidR="009B798B" w:rsidRPr="009E0198" w:rsidRDefault="009B798B" w:rsidP="009E0198">
      <w:pPr>
        <w:pStyle w:val="NormalWeb"/>
        <w:spacing w:before="0" w:beforeAutospacing="0" w:after="0" w:afterAutospacing="0"/>
        <w:ind w:left="720"/>
        <w:jc w:val="both"/>
        <w:rPr>
          <w:rFonts w:ascii="Arial" w:hAnsi="Arial" w:cs="Arial"/>
        </w:rPr>
      </w:pPr>
      <w:r w:rsidRPr="009E0198">
        <w:rPr>
          <w:rFonts w:ascii="Arial" w:hAnsi="Arial" w:cs="Arial"/>
        </w:rPr>
        <w:t>El uso de analítica predictiva en la construcción de escenarios municipales conlleva riesgos éticos ineludibles si se alimenta de bases de datos históricas sesgadas. Por consiguiente, la institucionalización de la prospectiva basada en datos exige el diseño de marcos de gobernanza inclusivos que garanticen que la optimización de recursos y la inversión en infraestructura no reproduzcan ni amplifiquen brechas de discriminación socioespacial en el territorio.</w:t>
      </w:r>
    </w:p>
    <w:p w14:paraId="3D88B12C" w14:textId="49B94ECE" w:rsidR="009B798B" w:rsidRPr="009E0198" w:rsidRDefault="009B798B" w:rsidP="009E0198">
      <w:pPr>
        <w:pStyle w:val="NormalWeb"/>
        <w:numPr>
          <w:ilvl w:val="0"/>
          <w:numId w:val="11"/>
        </w:numPr>
        <w:spacing w:before="0" w:beforeAutospacing="0" w:after="0" w:afterAutospacing="0"/>
        <w:jc w:val="both"/>
        <w:rPr>
          <w:rFonts w:ascii="Arial" w:hAnsi="Arial" w:cs="Arial"/>
        </w:rPr>
      </w:pPr>
      <w:r w:rsidRPr="009E0198">
        <w:rPr>
          <w:rFonts w:ascii="Arial" w:hAnsi="Arial" w:cs="Arial"/>
        </w:rPr>
        <w:t>Desde la perspectiva del talento humano y la innovación pública:</w:t>
      </w:r>
    </w:p>
    <w:p w14:paraId="4001CB30" w14:textId="77777777" w:rsidR="009B798B" w:rsidRPr="009E0198" w:rsidRDefault="009B798B" w:rsidP="009E0198">
      <w:pPr>
        <w:pStyle w:val="NormalWeb"/>
        <w:spacing w:before="0" w:beforeAutospacing="0" w:after="0" w:afterAutospacing="0"/>
        <w:ind w:left="720"/>
        <w:jc w:val="both"/>
        <w:rPr>
          <w:rFonts w:ascii="Arial" w:hAnsi="Arial" w:cs="Arial"/>
        </w:rPr>
      </w:pPr>
      <w:r w:rsidRPr="009E0198">
        <w:rPr>
          <w:rFonts w:ascii="Arial" w:hAnsi="Arial" w:cs="Arial"/>
        </w:rPr>
        <w:t>El éxito de la transición hacia municipios inteligentes y prospectivos requiere rediseñar las estructuras organizativas del sector público local. La creación de capacidades híbridas —donde converjan urbanistas, tomadores de decisiones y científicos de datos— a través de laboratorios de innovación urbana se erige como el factor crítico de éxito indispensable para traducir modelos analíticos complejos en decisiones de gobernanza transformadoras.</w:t>
      </w:r>
    </w:p>
    <w:p w14:paraId="26AE5A7B" w14:textId="77777777" w:rsidR="009B798B" w:rsidRPr="009B798B" w:rsidRDefault="009B798B" w:rsidP="009E0198">
      <w:pPr>
        <w:spacing w:after="0" w:line="240" w:lineRule="auto"/>
        <w:jc w:val="both"/>
        <w:rPr>
          <w:rFonts w:ascii="Arial" w:eastAsia="Times New Roman" w:hAnsi="Arial" w:cs="Arial"/>
          <w:sz w:val="24"/>
          <w:szCs w:val="24"/>
          <w:lang w:eastAsia="es-CU"/>
        </w:rPr>
      </w:pPr>
    </w:p>
    <w:p w14:paraId="1637771D" w14:textId="60F747E4" w:rsidR="0098734A" w:rsidRDefault="0098734A" w:rsidP="00936176">
      <w:pPr>
        <w:spacing w:after="0" w:line="240" w:lineRule="auto"/>
        <w:jc w:val="both"/>
        <w:rPr>
          <w:rFonts w:ascii="Arial" w:eastAsia="Times New Roman" w:hAnsi="Arial" w:cs="Arial"/>
          <w:b/>
          <w:bCs/>
          <w:sz w:val="24"/>
          <w:szCs w:val="24"/>
          <w:lang w:eastAsia="es-CU"/>
        </w:rPr>
      </w:pPr>
      <w:r w:rsidRPr="00936176">
        <w:rPr>
          <w:rFonts w:ascii="Arial" w:eastAsia="Times New Roman" w:hAnsi="Arial" w:cs="Arial"/>
          <w:b/>
          <w:bCs/>
          <w:sz w:val="24"/>
          <w:szCs w:val="24"/>
          <w:lang w:eastAsia="es-CU"/>
        </w:rPr>
        <w:t>Referencias Bibliográficas</w:t>
      </w:r>
    </w:p>
    <w:p w14:paraId="3F60AFA2"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Batty, M. (2013). </w:t>
      </w:r>
      <w:r w:rsidRPr="00E80B10">
        <w:rPr>
          <w:rStyle w:val="nfasis"/>
          <w:rFonts w:ascii="Arial" w:hAnsi="Arial" w:cs="Arial"/>
        </w:rPr>
        <w:t>The new science of cities</w:t>
      </w:r>
      <w:r w:rsidRPr="00E80B10">
        <w:rPr>
          <w:rFonts w:ascii="Arial" w:hAnsi="Arial" w:cs="Arial"/>
        </w:rPr>
        <w:t>. MIT Press.</w:t>
      </w:r>
    </w:p>
    <w:p w14:paraId="7B3EBEA0"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Bibri, S. E. (2020). Data-driven smart sustainable cities: Overview of requirements, practices, and current applications. </w:t>
      </w:r>
      <w:r w:rsidRPr="00E80B10">
        <w:rPr>
          <w:rStyle w:val="nfasis"/>
          <w:rFonts w:ascii="Arial" w:hAnsi="Arial" w:cs="Arial"/>
        </w:rPr>
        <w:t>Sustainable Cities and Society</w:t>
      </w:r>
      <w:r w:rsidRPr="00E80B10">
        <w:rPr>
          <w:rFonts w:ascii="Arial" w:hAnsi="Arial" w:cs="Arial"/>
        </w:rPr>
        <w:t>, 60, 102247. https://doi.org/10.1016/j.scs.2020.102247</w:t>
      </w:r>
    </w:p>
    <w:p w14:paraId="31240C18"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Caprotti, F., &amp; Liu, D. (2020). Smart cities and the governance of change: Data, governance and the creation of urban futures. </w:t>
      </w:r>
      <w:r w:rsidRPr="00E80B10">
        <w:rPr>
          <w:rStyle w:val="nfasis"/>
          <w:rFonts w:ascii="Arial" w:hAnsi="Arial" w:cs="Arial"/>
        </w:rPr>
        <w:t>Urban Studies</w:t>
      </w:r>
      <w:r w:rsidRPr="00E80B10">
        <w:rPr>
          <w:rFonts w:ascii="Arial" w:hAnsi="Arial" w:cs="Arial"/>
        </w:rPr>
        <w:t>, 57(15), 3127–3144. https://doi.org/10.1177/0042098019894471</w:t>
      </w:r>
    </w:p>
    <w:p w14:paraId="4EF0B3E2"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Castillo Aucancela, A. M. (2021). La era del big data y open data en la administración pública. </w:t>
      </w:r>
      <w:r w:rsidRPr="00E80B10">
        <w:rPr>
          <w:rStyle w:val="nfasis"/>
          <w:rFonts w:ascii="Arial" w:hAnsi="Arial" w:cs="Arial"/>
        </w:rPr>
        <w:t>Revista Eurolatinoamericana de Derecho Administrativo</w:t>
      </w:r>
      <w:r w:rsidRPr="00E80B10">
        <w:rPr>
          <w:rFonts w:ascii="Arial" w:hAnsi="Arial" w:cs="Arial"/>
        </w:rPr>
        <w:t>, 8(1), 61–76. https://doi.org/10.14409/redoeda.v8i1.9520</w:t>
      </w:r>
    </w:p>
    <w:p w14:paraId="0331C3AA"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lastRenderedPageBreak/>
        <w:t xml:space="preserve">Chasquibol Jaime, C. C. (2023). Planificación territorial y desarrollo prospectivo. </w:t>
      </w:r>
      <w:r w:rsidRPr="00E80B10">
        <w:rPr>
          <w:rStyle w:val="nfasis"/>
          <w:rFonts w:ascii="Arial" w:hAnsi="Arial" w:cs="Arial"/>
        </w:rPr>
        <w:t>Dilemas Contemporáneos: Educación, Política y Valores</w:t>
      </w:r>
      <w:r w:rsidRPr="00E80B10">
        <w:rPr>
          <w:rFonts w:ascii="Arial" w:hAnsi="Arial" w:cs="Arial"/>
        </w:rPr>
        <w:t>, 10(2), 1–18. https://doi.org/10.46377/dilemas.v2i10.3509</w:t>
      </w:r>
    </w:p>
    <w:p w14:paraId="272C0D14"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Dembski, F., Wössner, U., Letzgus, M., Ruddat, M., &amp; Yamu, C. (2022). Gemelo digital para la planificación urbana en la era del Pacto Verde: Estado del arte y perspectivas futuras. </w:t>
      </w:r>
      <w:r w:rsidRPr="00E80B10">
        <w:rPr>
          <w:rStyle w:val="nfasis"/>
          <w:rFonts w:ascii="Arial" w:hAnsi="Arial" w:cs="Arial"/>
        </w:rPr>
        <w:t>Sustainability</w:t>
      </w:r>
      <w:r w:rsidRPr="00E80B10">
        <w:rPr>
          <w:rFonts w:ascii="Arial" w:hAnsi="Arial" w:cs="Arial"/>
        </w:rPr>
        <w:t>, 14(10), 6263. https://doi.org/10.3390/su14106263</w:t>
      </w:r>
    </w:p>
    <w:p w14:paraId="5FFE7435"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Floridi, L., &amp; Cowls, J. (2019). A unified framework of five principles for AI in design, development, and deployment. </w:t>
      </w:r>
      <w:r w:rsidRPr="00E80B10">
        <w:rPr>
          <w:rStyle w:val="nfasis"/>
          <w:rFonts w:ascii="Arial" w:hAnsi="Arial" w:cs="Arial"/>
        </w:rPr>
        <w:t>Philosophy &amp; Technology</w:t>
      </w:r>
      <w:r w:rsidRPr="00E80B10">
        <w:rPr>
          <w:rFonts w:ascii="Arial" w:hAnsi="Arial" w:cs="Arial"/>
        </w:rPr>
        <w:t>, 32(1), 1–15. https://doi.org/10.1007/s13347-019-00343-2</w:t>
      </w:r>
    </w:p>
    <w:p w14:paraId="3FBD1216"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Gall, T., &amp; Allam, Z. (2022). </w:t>
      </w:r>
      <w:r w:rsidRPr="00E80B10">
        <w:rPr>
          <w:rStyle w:val="nfasis"/>
          <w:rFonts w:ascii="Arial" w:hAnsi="Arial" w:cs="Arial"/>
        </w:rPr>
        <w:t>Strategic foresight and futures thinking in urban development: Reframing planning perspectives and decolonising urban futures</w:t>
      </w:r>
      <w:r w:rsidRPr="00E80B10">
        <w:rPr>
          <w:rFonts w:ascii="Arial" w:hAnsi="Arial" w:cs="Arial"/>
        </w:rPr>
        <w:t>. UN-Habitat and ISOCARP.</w:t>
      </w:r>
    </w:p>
    <w:p w14:paraId="536BA0FF"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Giffinger, R., Fertner, C., Kramar, H., Kalasek, R., Pichler-Milanovic, N., &amp; Meijers, E. (2007). </w:t>
      </w:r>
      <w:r w:rsidRPr="00E80B10">
        <w:rPr>
          <w:rStyle w:val="nfasis"/>
          <w:rFonts w:ascii="Arial" w:hAnsi="Arial" w:cs="Arial"/>
        </w:rPr>
        <w:t>Smart cities: Ranking of European medium-sized cities</w:t>
      </w:r>
      <w:r w:rsidRPr="00E80B10">
        <w:rPr>
          <w:rFonts w:ascii="Arial" w:hAnsi="Arial" w:cs="Arial"/>
        </w:rPr>
        <w:t>. Centre of Regional Science (SRF), Vienna University of Technology. http://www.smart-cities.eu/download/smart_cities_final_report.pdf</w:t>
      </w:r>
    </w:p>
    <w:p w14:paraId="630C29A8"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Godet, M. (2007). </w:t>
      </w:r>
      <w:r w:rsidRPr="00E80B10">
        <w:rPr>
          <w:rStyle w:val="nfasis"/>
          <w:rFonts w:ascii="Arial" w:hAnsi="Arial" w:cs="Arial"/>
        </w:rPr>
        <w:t>Prospectiva estratégica: Problemas y métodos</w:t>
      </w:r>
      <w:r w:rsidRPr="00E80B10">
        <w:rPr>
          <w:rFonts w:ascii="Arial" w:hAnsi="Arial" w:cs="Arial"/>
        </w:rPr>
        <w:t>. Cuadernos de L'IREP.</w:t>
      </w:r>
    </w:p>
    <w:p w14:paraId="64A6F5C2"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Izakovičová, Z., Miklós, L., Miklósová, V., &amp; Petrovič, F. (2019). Visiones integradas de la prospectiva y el uso de datos cuantitativos y cualitativos en la dinámica territorial. </w:t>
      </w:r>
      <w:r w:rsidRPr="00E80B10">
        <w:rPr>
          <w:rStyle w:val="nfasis"/>
          <w:rFonts w:ascii="Arial" w:hAnsi="Arial" w:cs="Arial"/>
        </w:rPr>
        <w:t>Sustainability</w:t>
      </w:r>
      <w:r w:rsidRPr="00E80B10">
        <w:rPr>
          <w:rFonts w:ascii="Arial" w:hAnsi="Arial" w:cs="Arial"/>
        </w:rPr>
        <w:t>, 11(17), 4554. https://doi.org/10.3390/su11174554</w:t>
      </w:r>
    </w:p>
    <w:p w14:paraId="742F0A9C"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Kitchin, R. (2014). The real-time city? Big data and urbanism. </w:t>
      </w:r>
      <w:r w:rsidRPr="00E80B10">
        <w:rPr>
          <w:rStyle w:val="nfasis"/>
          <w:rFonts w:ascii="Arial" w:hAnsi="Arial" w:cs="Arial"/>
        </w:rPr>
        <w:t>GeoJournal</w:t>
      </w:r>
      <w:r w:rsidRPr="00E80B10">
        <w:rPr>
          <w:rFonts w:ascii="Arial" w:hAnsi="Arial" w:cs="Arial"/>
        </w:rPr>
        <w:t>, 79(1), 1–14. https://doi.org/10.1007/s10708-013-9516-8</w:t>
      </w:r>
    </w:p>
    <w:p w14:paraId="4BB6FB88"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Kitchin, R., Lauriault, T. P., &amp; McArdle, G. (2015). Knowing and governing cities through urban indicators, benchmarking and real-time dashboards. </w:t>
      </w:r>
      <w:r w:rsidRPr="00E80B10">
        <w:rPr>
          <w:rStyle w:val="nfasis"/>
          <w:rFonts w:ascii="Arial" w:hAnsi="Arial" w:cs="Arial"/>
        </w:rPr>
        <w:t>Regional Studies, Regional Science</w:t>
      </w:r>
      <w:r w:rsidRPr="00E80B10">
        <w:rPr>
          <w:rFonts w:ascii="Arial" w:hAnsi="Arial" w:cs="Arial"/>
        </w:rPr>
        <w:t>, 2(1), 1–28. https://doi.org/10.1080/21681376.2014.983149</w:t>
      </w:r>
    </w:p>
    <w:p w14:paraId="45DC69CC"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Mäntysalo, R., Granqvist, K., Duman, O., &amp; Mladenović, M. N. (2022). From forecasts to scenarios in strategic city-regional land-use and transportation planning. </w:t>
      </w:r>
      <w:r w:rsidRPr="00E80B10">
        <w:rPr>
          <w:rStyle w:val="nfasis"/>
          <w:rFonts w:ascii="Arial" w:hAnsi="Arial" w:cs="Arial"/>
        </w:rPr>
        <w:t>Regional Studies</w:t>
      </w:r>
      <w:r w:rsidRPr="00E80B10">
        <w:rPr>
          <w:rFonts w:ascii="Arial" w:hAnsi="Arial" w:cs="Arial"/>
        </w:rPr>
        <w:t>, 57(4), 629–641. https://doi.org/10.1080/00343404.2022.2091210</w:t>
      </w:r>
    </w:p>
    <w:p w14:paraId="33D38556"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Organisation for Economic Co-operation and Development [OECD]. (2023). </w:t>
      </w:r>
      <w:r w:rsidRPr="00E80B10">
        <w:rPr>
          <w:rStyle w:val="nfasis"/>
          <w:rFonts w:ascii="Arial" w:hAnsi="Arial" w:cs="Arial"/>
        </w:rPr>
        <w:t>Building anticipatory capacity in governments through strategic foresight</w:t>
      </w:r>
      <w:r w:rsidRPr="00E80B10">
        <w:rPr>
          <w:rFonts w:ascii="Arial" w:hAnsi="Arial" w:cs="Arial"/>
        </w:rPr>
        <w:t>. OECD Public Governance Reviews. OECD Publishing. https://doi.org/10.1787/a8570076-en</w:t>
      </w:r>
    </w:p>
    <w:p w14:paraId="54AEFFFE"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Pascual, J., &amp; Guimaraes, R. (2023). </w:t>
      </w:r>
      <w:r w:rsidRPr="00E80B10">
        <w:rPr>
          <w:rStyle w:val="nfasis"/>
          <w:rFonts w:ascii="Arial" w:hAnsi="Arial" w:cs="Arial"/>
        </w:rPr>
        <w:t>Local governments and the future of territories: Emerging foresight methodologies in municipal public management</w:t>
      </w:r>
      <w:r w:rsidRPr="00E80B10">
        <w:rPr>
          <w:rFonts w:ascii="Arial" w:hAnsi="Arial" w:cs="Arial"/>
        </w:rPr>
        <w:t>. United Cities and Local Governments (UCLG). https://www.uclg.org/</w:t>
      </w:r>
    </w:p>
    <w:p w14:paraId="589FA59D"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Salvador Serna, M. (2021). Inteligencia artificial y gobernanza de datos en las administraciones públicas: Reflexiones y evidencias para su desarrollo. </w:t>
      </w:r>
      <w:r w:rsidRPr="00E80B10">
        <w:rPr>
          <w:rStyle w:val="nfasis"/>
          <w:rFonts w:ascii="Arial" w:hAnsi="Arial" w:cs="Arial"/>
        </w:rPr>
        <w:t>Gestión y Análisis de Políticas Públicas</w:t>
      </w:r>
      <w:r w:rsidRPr="00E80B10">
        <w:rPr>
          <w:rFonts w:ascii="Arial" w:hAnsi="Arial" w:cs="Arial"/>
        </w:rPr>
        <w:t>, (26), 20–32. https://doi.org/10.24965/gapp.i26.10855</w:t>
      </w:r>
    </w:p>
    <w:p w14:paraId="7FA158EA"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Vilela Pincay, W. E. (2024). Análisis jurídico de la planificación de los gobiernos autónomos descentralizados municipales en base a los mandatos constitucionales. </w:t>
      </w:r>
      <w:r w:rsidRPr="00E80B10">
        <w:rPr>
          <w:rStyle w:val="nfasis"/>
          <w:rFonts w:ascii="Arial" w:hAnsi="Arial" w:cs="Arial"/>
        </w:rPr>
        <w:t>Ciencia Latina Revista Científica Multidisciplinar</w:t>
      </w:r>
      <w:r w:rsidRPr="00E80B10">
        <w:rPr>
          <w:rFonts w:ascii="Arial" w:hAnsi="Arial" w:cs="Arial"/>
        </w:rPr>
        <w:t>, 8(1), 4210–4225. https://doi.org/10.37811/cl_rcm.v8i1.9704</w:t>
      </w:r>
    </w:p>
    <w:p w14:paraId="6BDD03E3" w14:textId="77777777" w:rsidR="00E80B10" w:rsidRPr="00E80B10" w:rsidRDefault="00E80B10" w:rsidP="00E80B10">
      <w:pPr>
        <w:pStyle w:val="NormalWeb"/>
        <w:spacing w:before="0" w:beforeAutospacing="0" w:after="0" w:afterAutospacing="0"/>
        <w:ind w:left="426" w:hanging="426"/>
        <w:jc w:val="both"/>
        <w:rPr>
          <w:rFonts w:ascii="Arial" w:hAnsi="Arial" w:cs="Arial"/>
        </w:rPr>
      </w:pPr>
      <w:r w:rsidRPr="00E80B10">
        <w:rPr>
          <w:rFonts w:ascii="Arial" w:hAnsi="Arial" w:cs="Arial"/>
        </w:rPr>
        <w:t xml:space="preserve">World Economic Forum [WEF]. (2021). </w:t>
      </w:r>
      <w:r w:rsidRPr="00E80B10">
        <w:rPr>
          <w:rStyle w:val="nfasis"/>
          <w:rFonts w:ascii="Arial" w:hAnsi="Arial" w:cs="Arial"/>
        </w:rPr>
        <w:t>Data-driven cities: Framework for urban governance and local planning</w:t>
      </w:r>
      <w:r w:rsidRPr="00E80B10">
        <w:rPr>
          <w:rFonts w:ascii="Arial" w:hAnsi="Arial" w:cs="Arial"/>
        </w:rPr>
        <w:t>. World Economic Forum White Paper. https://www.weforum.org/reports/data-driven-cities/</w:t>
      </w:r>
    </w:p>
    <w:p w14:paraId="098DEFD1" w14:textId="77777777" w:rsidR="00E80B10" w:rsidRPr="00E80B10" w:rsidRDefault="00E80B10" w:rsidP="00E80B10">
      <w:pPr>
        <w:spacing w:after="0" w:line="240" w:lineRule="auto"/>
        <w:ind w:left="426" w:hanging="426"/>
        <w:jc w:val="both"/>
        <w:rPr>
          <w:rFonts w:ascii="Arial" w:eastAsia="Times New Roman" w:hAnsi="Arial" w:cs="Arial"/>
          <w:b/>
          <w:bCs/>
          <w:sz w:val="24"/>
          <w:szCs w:val="24"/>
          <w:lang w:eastAsia="es-CU"/>
        </w:rPr>
      </w:pPr>
    </w:p>
    <w:sectPr w:rsidR="00E80B10" w:rsidRPr="00E80B10" w:rsidSect="00D84C2A">
      <w:pgSz w:w="12242" w:h="15842" w:code="17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57D04"/>
    <w:multiLevelType w:val="multilevel"/>
    <w:tmpl w:val="8A5A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E03EC"/>
    <w:multiLevelType w:val="hybridMultilevel"/>
    <w:tmpl w:val="3B72174C"/>
    <w:lvl w:ilvl="0" w:tplc="5C0A000B">
      <w:start w:val="1"/>
      <w:numFmt w:val="bullet"/>
      <w:lvlText w:val=""/>
      <w:lvlJc w:val="left"/>
      <w:pPr>
        <w:ind w:left="720" w:hanging="360"/>
      </w:pPr>
      <w:rPr>
        <w:rFonts w:ascii="Wingdings" w:hAnsi="Wingdings"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 w15:restartNumberingAfterBreak="0">
    <w:nsid w:val="127D6B3D"/>
    <w:multiLevelType w:val="multilevel"/>
    <w:tmpl w:val="A99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27B91"/>
    <w:multiLevelType w:val="multilevel"/>
    <w:tmpl w:val="66E83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F4D62"/>
    <w:multiLevelType w:val="multilevel"/>
    <w:tmpl w:val="EBEC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BD0831"/>
    <w:multiLevelType w:val="multilevel"/>
    <w:tmpl w:val="EE9A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5642EB"/>
    <w:multiLevelType w:val="multilevel"/>
    <w:tmpl w:val="E052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395C4C"/>
    <w:multiLevelType w:val="hybridMultilevel"/>
    <w:tmpl w:val="2920097A"/>
    <w:lvl w:ilvl="0" w:tplc="540A000B">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8" w15:restartNumberingAfterBreak="0">
    <w:nsid w:val="5C487989"/>
    <w:multiLevelType w:val="hybridMultilevel"/>
    <w:tmpl w:val="405679E8"/>
    <w:lvl w:ilvl="0" w:tplc="540A000D">
      <w:start w:val="1"/>
      <w:numFmt w:val="bullet"/>
      <w:lvlText w:val=""/>
      <w:lvlJc w:val="left"/>
      <w:pPr>
        <w:ind w:left="720" w:hanging="360"/>
      </w:pPr>
      <w:rPr>
        <w:rFonts w:ascii="Wingdings" w:hAnsi="Wingdings" w:hint="default"/>
      </w:rPr>
    </w:lvl>
    <w:lvl w:ilvl="1" w:tplc="540A0003">
      <w:start w:val="1"/>
      <w:numFmt w:val="bullet"/>
      <w:lvlText w:val="o"/>
      <w:lvlJc w:val="left"/>
      <w:pPr>
        <w:ind w:left="1440" w:hanging="360"/>
      </w:pPr>
      <w:rPr>
        <w:rFonts w:ascii="Courier New" w:hAnsi="Courier New" w:cs="Courier New" w:hint="default"/>
      </w:rPr>
    </w:lvl>
    <w:lvl w:ilvl="2" w:tplc="26BEBA08">
      <w:numFmt w:val="bullet"/>
      <w:lvlText w:val=""/>
      <w:lvlJc w:val="left"/>
      <w:pPr>
        <w:ind w:left="2160" w:hanging="360"/>
      </w:pPr>
      <w:rPr>
        <w:rFonts w:ascii="Symbol" w:eastAsia="Times New Roman" w:hAnsi="Symbol" w:cs="Times New Roman"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9" w15:restartNumberingAfterBreak="0">
    <w:nsid w:val="6BAA31DD"/>
    <w:multiLevelType w:val="multilevel"/>
    <w:tmpl w:val="7874919E"/>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6E90A92"/>
    <w:multiLevelType w:val="multilevel"/>
    <w:tmpl w:val="7314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8B4C04"/>
    <w:multiLevelType w:val="hybridMultilevel"/>
    <w:tmpl w:val="CEB48184"/>
    <w:lvl w:ilvl="0" w:tplc="540A0001">
      <w:start w:val="1"/>
      <w:numFmt w:val="bullet"/>
      <w:lvlText w:val=""/>
      <w:lvlJc w:val="left"/>
      <w:pPr>
        <w:ind w:left="720" w:hanging="360"/>
      </w:pPr>
      <w:rPr>
        <w:rFonts w:ascii="Symbol" w:hAnsi="Symbol" w:hint="default"/>
      </w:rPr>
    </w:lvl>
    <w:lvl w:ilvl="1" w:tplc="540A0003">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0"/>
  </w:num>
  <w:num w:numId="5">
    <w:abstractNumId w:val="2"/>
  </w:num>
  <w:num w:numId="6">
    <w:abstractNumId w:val="3"/>
  </w:num>
  <w:num w:numId="7">
    <w:abstractNumId w:val="11"/>
  </w:num>
  <w:num w:numId="8">
    <w:abstractNumId w:val="7"/>
  </w:num>
  <w:num w:numId="9">
    <w:abstractNumId w:val="9"/>
  </w:num>
  <w:num w:numId="10">
    <w:abstractNumId w:val="8"/>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C2A"/>
    <w:rsid w:val="00024BD4"/>
    <w:rsid w:val="00252D9D"/>
    <w:rsid w:val="00314D80"/>
    <w:rsid w:val="003D6019"/>
    <w:rsid w:val="00422082"/>
    <w:rsid w:val="004614C4"/>
    <w:rsid w:val="004A7357"/>
    <w:rsid w:val="00595A19"/>
    <w:rsid w:val="0068106A"/>
    <w:rsid w:val="0082241B"/>
    <w:rsid w:val="00936176"/>
    <w:rsid w:val="0098734A"/>
    <w:rsid w:val="009B798B"/>
    <w:rsid w:val="009E0198"/>
    <w:rsid w:val="00D84C2A"/>
    <w:rsid w:val="00DE6A47"/>
    <w:rsid w:val="00E80B10"/>
    <w:rsid w:val="00EE5921"/>
    <w:rsid w:val="00F4045B"/>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DE4B"/>
  <w15:chartTrackingRefBased/>
  <w15:docId w15:val="{1477218A-E849-40E1-87C9-23707DC1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80B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ar"/>
    <w:uiPriority w:val="9"/>
    <w:qFormat/>
    <w:rsid w:val="00D84C2A"/>
    <w:pPr>
      <w:spacing w:before="100" w:beforeAutospacing="1" w:after="100" w:afterAutospacing="1" w:line="240" w:lineRule="auto"/>
      <w:outlineLvl w:val="2"/>
    </w:pPr>
    <w:rPr>
      <w:rFonts w:ascii="Times New Roman" w:eastAsia="Times New Roman" w:hAnsi="Times New Roman" w:cs="Times New Roman"/>
      <w:b/>
      <w:bCs/>
      <w:sz w:val="27"/>
      <w:szCs w:val="27"/>
      <w:lang w:eastAsia="es-C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84C2A"/>
    <w:rPr>
      <w:rFonts w:ascii="Times New Roman" w:eastAsia="Times New Roman" w:hAnsi="Times New Roman" w:cs="Times New Roman"/>
      <w:b/>
      <w:bCs/>
      <w:sz w:val="27"/>
      <w:szCs w:val="27"/>
      <w:lang w:eastAsia="es-CU"/>
    </w:rPr>
  </w:style>
  <w:style w:type="character" w:customStyle="1" w:styleId="badge-tem">
    <w:name w:val="badge-tem"/>
    <w:basedOn w:val="Fuentedeprrafopredeter"/>
    <w:rsid w:val="00D84C2A"/>
  </w:style>
  <w:style w:type="character" w:styleId="Textoennegrita">
    <w:name w:val="Strong"/>
    <w:basedOn w:val="Fuentedeprrafopredeter"/>
    <w:uiPriority w:val="22"/>
    <w:qFormat/>
    <w:rsid w:val="00D84C2A"/>
    <w:rPr>
      <w:b/>
      <w:bCs/>
    </w:rPr>
  </w:style>
  <w:style w:type="character" w:styleId="Hipervnculo">
    <w:name w:val="Hyperlink"/>
    <w:basedOn w:val="Fuentedeprrafopredeter"/>
    <w:uiPriority w:val="99"/>
    <w:unhideWhenUsed/>
    <w:rsid w:val="00D84C2A"/>
    <w:rPr>
      <w:color w:val="0563C1" w:themeColor="hyperlink"/>
      <w:u w:val="single"/>
    </w:rPr>
  </w:style>
  <w:style w:type="paragraph" w:styleId="Prrafodelista">
    <w:name w:val="List Paragraph"/>
    <w:basedOn w:val="Normal"/>
    <w:uiPriority w:val="34"/>
    <w:qFormat/>
    <w:rsid w:val="0098734A"/>
    <w:pPr>
      <w:ind w:left="720"/>
      <w:contextualSpacing/>
    </w:pPr>
  </w:style>
  <w:style w:type="paragraph" w:styleId="Textocomentario">
    <w:name w:val="annotation text"/>
    <w:basedOn w:val="Normal"/>
    <w:link w:val="TextocomentarioCar"/>
    <w:uiPriority w:val="99"/>
    <w:semiHidden/>
    <w:unhideWhenUsed/>
    <w:rsid w:val="0068106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8106A"/>
    <w:rPr>
      <w:sz w:val="20"/>
      <w:szCs w:val="20"/>
    </w:rPr>
  </w:style>
  <w:style w:type="paragraph" w:styleId="NormalWeb">
    <w:name w:val="Normal (Web)"/>
    <w:basedOn w:val="Normal"/>
    <w:uiPriority w:val="99"/>
    <w:semiHidden/>
    <w:unhideWhenUsed/>
    <w:rsid w:val="009B798B"/>
    <w:pPr>
      <w:spacing w:before="100" w:beforeAutospacing="1" w:after="100" w:afterAutospacing="1" w:line="240" w:lineRule="auto"/>
    </w:pPr>
    <w:rPr>
      <w:rFonts w:ascii="Times New Roman" w:eastAsia="Times New Roman" w:hAnsi="Times New Roman" w:cs="Times New Roman"/>
      <w:sz w:val="24"/>
      <w:szCs w:val="24"/>
      <w:lang w:eastAsia="es-CU"/>
    </w:rPr>
  </w:style>
  <w:style w:type="character" w:styleId="nfasis">
    <w:name w:val="Emphasis"/>
    <w:basedOn w:val="Fuentedeprrafopredeter"/>
    <w:uiPriority w:val="20"/>
    <w:qFormat/>
    <w:rsid w:val="009E0198"/>
    <w:rPr>
      <w:i/>
      <w:iCs/>
    </w:rPr>
  </w:style>
  <w:style w:type="character" w:customStyle="1" w:styleId="Ttulo1Car">
    <w:name w:val="Título 1 Car"/>
    <w:basedOn w:val="Fuentedeprrafopredeter"/>
    <w:link w:val="Ttulo1"/>
    <w:uiPriority w:val="9"/>
    <w:rsid w:val="00E80B1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12041">
      <w:bodyDiv w:val="1"/>
      <w:marLeft w:val="0"/>
      <w:marRight w:val="0"/>
      <w:marTop w:val="0"/>
      <w:marBottom w:val="0"/>
      <w:divBdr>
        <w:top w:val="none" w:sz="0" w:space="0" w:color="auto"/>
        <w:left w:val="none" w:sz="0" w:space="0" w:color="auto"/>
        <w:bottom w:val="none" w:sz="0" w:space="0" w:color="auto"/>
        <w:right w:val="none" w:sz="0" w:space="0" w:color="auto"/>
      </w:divBdr>
    </w:div>
    <w:div w:id="84109841">
      <w:bodyDiv w:val="1"/>
      <w:marLeft w:val="0"/>
      <w:marRight w:val="0"/>
      <w:marTop w:val="0"/>
      <w:marBottom w:val="0"/>
      <w:divBdr>
        <w:top w:val="none" w:sz="0" w:space="0" w:color="auto"/>
        <w:left w:val="none" w:sz="0" w:space="0" w:color="auto"/>
        <w:bottom w:val="none" w:sz="0" w:space="0" w:color="auto"/>
        <w:right w:val="none" w:sz="0" w:space="0" w:color="auto"/>
      </w:divBdr>
    </w:div>
    <w:div w:id="625889370">
      <w:bodyDiv w:val="1"/>
      <w:marLeft w:val="0"/>
      <w:marRight w:val="0"/>
      <w:marTop w:val="0"/>
      <w:marBottom w:val="0"/>
      <w:divBdr>
        <w:top w:val="none" w:sz="0" w:space="0" w:color="auto"/>
        <w:left w:val="none" w:sz="0" w:space="0" w:color="auto"/>
        <w:bottom w:val="none" w:sz="0" w:space="0" w:color="auto"/>
        <w:right w:val="none" w:sz="0" w:space="0" w:color="auto"/>
      </w:divBdr>
      <w:divsChild>
        <w:div w:id="1425757737">
          <w:blockQuote w:val="1"/>
          <w:marLeft w:val="720"/>
          <w:marRight w:val="720"/>
          <w:marTop w:val="100"/>
          <w:marBottom w:val="100"/>
          <w:divBdr>
            <w:top w:val="none" w:sz="0" w:space="0" w:color="auto"/>
            <w:left w:val="none" w:sz="0" w:space="0" w:color="auto"/>
            <w:bottom w:val="none" w:sz="0" w:space="0" w:color="auto"/>
            <w:right w:val="none" w:sz="0" w:space="0" w:color="auto"/>
          </w:divBdr>
        </w:div>
        <w:div w:id="96994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517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842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847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8943876">
      <w:bodyDiv w:val="1"/>
      <w:marLeft w:val="0"/>
      <w:marRight w:val="0"/>
      <w:marTop w:val="0"/>
      <w:marBottom w:val="0"/>
      <w:divBdr>
        <w:top w:val="none" w:sz="0" w:space="0" w:color="auto"/>
        <w:left w:val="none" w:sz="0" w:space="0" w:color="auto"/>
        <w:bottom w:val="none" w:sz="0" w:space="0" w:color="auto"/>
        <w:right w:val="none" w:sz="0" w:space="0" w:color="auto"/>
      </w:divBdr>
    </w:div>
    <w:div w:id="1251935833">
      <w:bodyDiv w:val="1"/>
      <w:marLeft w:val="0"/>
      <w:marRight w:val="0"/>
      <w:marTop w:val="0"/>
      <w:marBottom w:val="0"/>
      <w:divBdr>
        <w:top w:val="none" w:sz="0" w:space="0" w:color="auto"/>
        <w:left w:val="none" w:sz="0" w:space="0" w:color="auto"/>
        <w:bottom w:val="none" w:sz="0" w:space="0" w:color="auto"/>
        <w:right w:val="none" w:sz="0" w:space="0" w:color="auto"/>
      </w:divBdr>
      <w:divsChild>
        <w:div w:id="734620117">
          <w:marLeft w:val="0"/>
          <w:marRight w:val="0"/>
          <w:marTop w:val="0"/>
          <w:marBottom w:val="0"/>
          <w:divBdr>
            <w:top w:val="none" w:sz="0" w:space="0" w:color="auto"/>
            <w:left w:val="none" w:sz="0" w:space="0" w:color="auto"/>
            <w:bottom w:val="none" w:sz="0" w:space="0" w:color="auto"/>
            <w:right w:val="none" w:sz="0" w:space="0" w:color="auto"/>
          </w:divBdr>
        </w:div>
        <w:div w:id="347221531">
          <w:marLeft w:val="0"/>
          <w:marRight w:val="0"/>
          <w:marTop w:val="0"/>
          <w:marBottom w:val="0"/>
          <w:divBdr>
            <w:top w:val="none" w:sz="0" w:space="0" w:color="auto"/>
            <w:left w:val="none" w:sz="0" w:space="0" w:color="auto"/>
            <w:bottom w:val="none" w:sz="0" w:space="0" w:color="auto"/>
            <w:right w:val="none" w:sz="0" w:space="0" w:color="auto"/>
          </w:divBdr>
        </w:div>
      </w:divsChild>
    </w:div>
    <w:div w:id="1442721026">
      <w:bodyDiv w:val="1"/>
      <w:marLeft w:val="0"/>
      <w:marRight w:val="0"/>
      <w:marTop w:val="0"/>
      <w:marBottom w:val="0"/>
      <w:divBdr>
        <w:top w:val="none" w:sz="0" w:space="0" w:color="auto"/>
        <w:left w:val="none" w:sz="0" w:space="0" w:color="auto"/>
        <w:bottom w:val="none" w:sz="0" w:space="0" w:color="auto"/>
        <w:right w:val="none" w:sz="0" w:space="0" w:color="auto"/>
      </w:divBdr>
    </w:div>
    <w:div w:id="209566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ita@ucf.edu.cu" TargetMode="External"/><Relationship Id="rId5" Type="http://schemas.openxmlformats.org/officeDocument/2006/relationships/hyperlink" Target="mailto:ysarria@ucf.edu.cu"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2422</Words>
  <Characters>13324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Yaima YSP. Sarria Pablo</dc:creator>
  <cp:keywords/>
  <dc:description/>
  <cp:lastModifiedBy>Yaima YSP. Sarria Pablo</cp:lastModifiedBy>
  <cp:revision>10</cp:revision>
  <dcterms:created xsi:type="dcterms:W3CDTF">2026-10-06T17:26:00Z</dcterms:created>
  <dcterms:modified xsi:type="dcterms:W3CDTF">2026-10-09T16:28:00Z</dcterms:modified>
</cp:coreProperties>
</file>