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E9A6ED09">
      <w:pPr>
        <w:pStyle w:val="style0"/>
        <w:spacing w:after="500"/>
        <w:rPr/>
      </w:pPr>
    </w:p>
    <w:p w14:paraId="9EF5C60E">
      <w:pPr>
        <w:pStyle w:val="style0"/>
        <w:spacing w:after="120" w:lineRule="auto" w:line="240"/>
        <w:jc w:val="center"/>
        <w:rPr/>
      </w:pPr>
      <w:r>
        <w:rPr>
          <w:rFonts w:ascii="Arial" w:cs="Arial" w:eastAsia="Arial" w:hAnsi="Arial"/>
          <w:b/>
          <w:bCs/>
          <w:i w:val="false"/>
          <w:iCs w:val="false"/>
          <w:sz w:val="30"/>
          <w:szCs w:val="30"/>
        </w:rPr>
        <w:t>UNIVERSIDAD DE CIENFUEGOS</w:t>
      </w:r>
    </w:p>
    <w:p w14:paraId="A538BB43">
      <w:pPr>
        <w:pStyle w:val="style0"/>
        <w:spacing w:after="60" w:lineRule="auto" w:line="240"/>
        <w:jc w:val="center"/>
        <w:rPr/>
      </w:pPr>
      <w:r>
        <w:rPr>
          <w:lang w:val="en-US"/>
        </w:rPr>
        <w:t>MAESTRIA ADMINISTRACION DE NEGOCIOS VII EDICION</w:t>
      </w:r>
    </w:p>
    <w:p w14:paraId="2B69AC77">
      <w:pPr>
        <w:pStyle w:val="style0"/>
        <w:spacing w:after="500" w:lineRule="auto" w:line="240"/>
        <w:jc w:val="center"/>
        <w:rPr/>
      </w:pPr>
    </w:p>
    <w:p w14:paraId="A9F697D3">
      <w:pPr>
        <w:pStyle w:val="style0"/>
        <w:spacing w:after="0" w:lineRule="auto" w:line="240"/>
        <w:jc w:val="center"/>
        <w:rPr/>
      </w:pPr>
      <w:r>
        <w:rPr>
          <w:rFonts w:ascii="Arial" w:cs="Arial" w:eastAsia="Arial" w:hAnsi="Arial"/>
          <w:b/>
          <w:bCs/>
          <w:i w:val="false"/>
          <w:iCs w:val="false"/>
          <w:sz w:val="26"/>
          <w:szCs w:val="26"/>
        </w:rPr>
        <w:t>PONENCIA</w:t>
      </w:r>
    </w:p>
    <w:p w14:paraId="72DB63C4">
      <w:pPr>
        <w:pStyle w:val="style0"/>
        <w:spacing w:after="400" w:lineRule="auto" w:line="240"/>
        <w:jc w:val="center"/>
        <w:rPr/>
      </w:pPr>
      <w:r>
        <w:rPr>
          <w:rFonts w:ascii="Arial" w:cs="Arial" w:eastAsia="Arial" w:hAnsi="Arial"/>
          <w:b/>
          <w:bCs/>
          <w:i w:val="false"/>
          <w:iCs w:val="false"/>
          <w:sz w:val="26"/>
          <w:szCs w:val="26"/>
        </w:rPr>
        <w:t>VI Taller Internacional de Gestión Empresarial y Desarrollo Local</w:t>
      </w:r>
    </w:p>
    <w:p w14:paraId="A09D5B10">
      <w:pPr>
        <w:pStyle w:val="style0"/>
        <w:spacing w:after="0" w:lineRule="auto" w:line="240"/>
        <w:jc w:val="center"/>
        <w:rPr/>
      </w:pPr>
      <w:r>
        <w:rPr>
          <w:rFonts w:ascii="Arial" w:cs="Arial" w:eastAsia="Arial" w:hAnsi="Arial"/>
          <w:b/>
          <w:bCs/>
          <w:i w:val="false"/>
          <w:iCs w:val="false"/>
          <w:sz w:val="24"/>
          <w:szCs w:val="24"/>
        </w:rPr>
        <w:t xml:space="preserve">Título: </w:t>
      </w:r>
    </w:p>
    <w:p w14:paraId="9C8D77E3">
      <w:pPr>
        <w:pStyle w:val="style0"/>
        <w:spacing w:after="500" w:lineRule="auto" w:line="240"/>
        <w:jc w:val="center"/>
        <w:rPr/>
      </w:pPr>
      <w:r>
        <w:rPr>
          <w:rFonts w:ascii="Arial" w:cs="Arial" w:eastAsia="Arial" w:hAnsi="Arial"/>
          <w:b/>
          <w:bCs/>
          <w:i/>
          <w:iCs/>
          <w:sz w:val="24"/>
          <w:szCs w:val="24"/>
        </w:rPr>
        <w:t>“Propuesta de rutas para la recolección de residuos sólidos urbanos, Comunales Municipal Cienfuegos”</w:t>
      </w:r>
    </w:p>
    <w:p w14:paraId="FAA9559E">
      <w:pPr>
        <w:pStyle w:val="style0"/>
        <w:spacing w:after="80" w:lineRule="auto" w:line="240"/>
        <w:jc w:val="center"/>
        <w:rPr/>
      </w:pPr>
      <w:r>
        <w:rPr>
          <w:rFonts w:ascii="Arial" w:cs="Arial" w:eastAsia="Arial" w:hAnsi="Arial"/>
          <w:b w:val="false"/>
          <w:bCs w:val="false"/>
          <w:i w:val="false"/>
          <w:iCs w:val="false"/>
          <w:sz w:val="24"/>
          <w:szCs w:val="24"/>
        </w:rPr>
        <w:t xml:space="preserve">Autora: Daneilys Castillo </w:t>
      </w:r>
      <w:r>
        <w:rPr>
          <w:rFonts w:ascii="Arial" w:cs="Arial" w:eastAsia="Arial" w:hAnsi="Arial"/>
          <w:b w:val="false"/>
          <w:bCs w:val="false"/>
          <w:i w:val="false"/>
          <w:iCs w:val="false"/>
          <w:sz w:val="24"/>
          <w:szCs w:val="24"/>
          <w:lang w:val="en-US"/>
        </w:rPr>
        <w:t>A</w:t>
      </w:r>
      <w:r>
        <w:rPr>
          <w:rFonts w:ascii="Arial" w:cs="Arial" w:eastAsia="Arial" w:hAnsi="Arial"/>
          <w:b w:val="false"/>
          <w:bCs w:val="false"/>
          <w:i w:val="false"/>
          <w:iCs w:val="false"/>
          <w:sz w:val="24"/>
          <w:szCs w:val="24"/>
        </w:rPr>
        <w:t>guila</w:t>
      </w:r>
    </w:p>
    <w:p w14:paraId="C9BBF4A8">
      <w:pPr>
        <w:pStyle w:val="style0"/>
        <w:spacing w:after="500" w:lineRule="auto" w:line="240"/>
        <w:jc w:val="center"/>
        <w:rPr/>
      </w:pPr>
      <w:r>
        <w:rPr>
          <w:rFonts w:ascii="Arial" w:cs="Arial" w:eastAsia="Arial" w:hAnsi="Arial"/>
          <w:b w:val="false"/>
          <w:bCs w:val="false"/>
          <w:i w:val="false"/>
          <w:iCs w:val="false"/>
          <w:sz w:val="24"/>
          <w:szCs w:val="24"/>
        </w:rPr>
        <w:t>Coautor/a: Marle Pérez De Armas</w:t>
      </w:r>
    </w:p>
    <w:p w14:paraId="62928665">
      <w:pPr>
        <w:pStyle w:val="style0"/>
        <w:spacing w:after="700" w:lineRule="auto" w:line="240"/>
        <w:jc w:val="center"/>
        <w:rPr/>
      </w:pPr>
      <w:r>
        <w:rPr>
          <w:rFonts w:ascii="Arial" w:cs="Arial" w:eastAsia="Arial" w:hAnsi="Arial"/>
          <w:b w:val="false"/>
          <w:bCs w:val="false"/>
          <w:i w:val="false"/>
          <w:iCs w:val="false"/>
          <w:sz w:val="24"/>
          <w:szCs w:val="24"/>
        </w:rPr>
        <w:t>Cienfuegos, 2026</w:t>
      </w:r>
    </w:p>
    <w:p w14:paraId="11AC416E">
      <w:pPr>
        <w:pStyle w:val="style0"/>
        <w:spacing w:before="0" w:after="140" w:lineRule="auto" w:line="240"/>
        <w:jc w:val="both"/>
        <w:rPr/>
      </w:pPr>
      <w:r>
        <w:rPr>
          <w:rFonts w:ascii="Arial" w:cs="Arial" w:eastAsia="Arial" w:hAnsi="Arial"/>
          <w:b/>
          <w:bCs/>
          <w:i w:val="false"/>
          <w:iCs w:val="false"/>
          <w:sz w:val="24"/>
          <w:szCs w:val="24"/>
        </w:rPr>
        <w:t xml:space="preserve">Resumen: </w:t>
      </w:r>
      <w:r>
        <w:rPr>
          <w:rFonts w:ascii="Arial" w:cs="Arial" w:eastAsia="Arial" w:hAnsi="Arial"/>
          <w:b w:val="false"/>
          <w:bCs w:val="false"/>
          <w:i w:val="false"/>
          <w:iCs w:val="false"/>
          <w:sz w:val="24"/>
          <w:szCs w:val="24"/>
        </w:rPr>
        <w:t>la presente investigación tiene como objetivo general diseñar una propuesta de rutas para la recolección de residuos sólidos urbanos en el municipio de Cienfuegos, en respuesta a las reiteradas quejas de la población en varios Consejos Populares y al carácter empírico y variable de las rutas de recogida actuales. Enmarcado en la Estrategia de Desarrollo Municipal (EDM) y el Plan 2030, el estudio busca optimizar el proceso de recolección, mejorar las condiciones higiénico-sanitarias del territorio y dar respuesta efectiva a las demandas de la población.</w:t>
      </w:r>
    </w:p>
    <w:p w14:paraId="8EB10D19">
      <w:pPr>
        <w:pStyle w:val="style0"/>
        <w:spacing w:before="0" w:after="140" w:lineRule="auto" w:line="240"/>
        <w:jc w:val="both"/>
        <w:rPr/>
      </w:pPr>
      <w:r>
        <w:rPr>
          <w:rFonts w:ascii="Arial" w:cs="Arial" w:eastAsia="Arial" w:hAnsi="Arial"/>
          <w:b w:val="false"/>
          <w:bCs w:val="false"/>
          <w:i w:val="false"/>
          <w:iCs w:val="false"/>
          <w:sz w:val="24"/>
          <w:szCs w:val="24"/>
        </w:rPr>
        <w:t>Metodológicamente, se realizó una revisión bibliográfica sobre tendencias y tratamientos de residuos sólidos urbanos a nivel internacional y nacional, así como sobre los beneficios del reciclaje. Para la recopilación y el análisis de la información se emplearon entrevistas, revisión documental, consulta a expertos, mapeo de procesos, diagramas causa-efecto y el Método del Cartero Chino, apoyados en Microsoft Excel e IBM SPSS Statistics 19.</w:t>
      </w:r>
    </w:p>
    <w:p w14:paraId="4BA4B6C7">
      <w:pPr>
        <w:pStyle w:val="style0"/>
        <w:spacing w:before="0" w:after="140" w:lineRule="auto" w:line="240"/>
        <w:jc w:val="both"/>
        <w:rPr/>
      </w:pPr>
      <w:r>
        <w:rPr>
          <w:rFonts w:ascii="Arial" w:cs="Arial" w:eastAsia="Arial" w:hAnsi="Arial"/>
          <w:b w:val="false"/>
          <w:bCs w:val="false"/>
          <w:i w:val="false"/>
          <w:iCs w:val="false"/>
          <w:sz w:val="24"/>
          <w:szCs w:val="24"/>
        </w:rPr>
        <w:t>Como resultado, se determinaron nuevas rutas de recolección para los Consejos Populares de Buena Vista, Junco Sur y Pueblo Griffo, identificados como zonas de mayor generación de residuos y con más quejas registradas. Las rutas propuestas garantizan el cumplimiento del proceso de recogida y permiten a cada equipo cubrir su área con un menor recorrido, elevando la eficiencia del servicio.</w:t>
      </w:r>
    </w:p>
    <w:p w14:paraId="6212A006">
      <w:pPr>
        <w:pStyle w:val="style0"/>
        <w:spacing w:before="0" w:after="140" w:lineRule="auto" w:line="240"/>
        <w:jc w:val="both"/>
        <w:rPr/>
      </w:pPr>
      <w:r>
        <w:rPr>
          <w:rFonts w:ascii="Arial" w:cs="Arial" w:eastAsia="Arial" w:hAnsi="Arial"/>
          <w:b/>
          <w:bCs/>
          <w:i w:val="false"/>
          <w:iCs w:val="false"/>
          <w:sz w:val="24"/>
          <w:szCs w:val="24"/>
        </w:rPr>
        <w:t xml:space="preserve">Palabras clave: </w:t>
      </w:r>
      <w:r>
        <w:rPr>
          <w:rFonts w:ascii="Arial" w:cs="Arial" w:eastAsia="Arial" w:hAnsi="Arial"/>
          <w:b w:val="false"/>
          <w:bCs w:val="false"/>
          <w:i w:val="false"/>
          <w:iCs w:val="false"/>
          <w:sz w:val="24"/>
          <w:szCs w:val="24"/>
        </w:rPr>
        <w:t>Residuos Sólidos Urbanos, Recolección, Método Cartero Chino, Diseño de Rutas, Cienfuegos.</w:t>
      </w:r>
    </w:p>
    <w:p w14:paraId="11B6FCF6">
      <w:pPr>
        <w:pStyle w:val="style0"/>
        <w:rPr/>
      </w:pPr>
      <w:r>
        <w:br w:type="page"/>
      </w:r>
    </w:p>
    <w:p w14:paraId="6FF0746E">
      <w:pPr>
        <w:pStyle w:val="style4097"/>
        <w:spacing w:before="0" w:after="100" w:lineRule="auto" w:line="240"/>
        <w:jc w:val="left"/>
        <w:rPr/>
      </w:pPr>
      <w:r>
        <w:rPr>
          <w:rFonts w:ascii="Arial" w:cs="Arial" w:eastAsia="Arial" w:hAnsi="Arial"/>
          <w:b/>
          <w:bCs/>
          <w:color w:val="1f4e2c"/>
          <w:sz w:val="30"/>
          <w:szCs w:val="30"/>
        </w:rPr>
        <w:t>Desarrollo</w:t>
      </w:r>
    </w:p>
    <w:p w14:paraId="E5D15B22">
      <w:pPr>
        <w:pStyle w:val="style4098"/>
        <w:spacing w:before="180" w:after="100" w:lineRule="auto" w:line="240"/>
        <w:jc w:val="left"/>
        <w:rPr/>
      </w:pPr>
      <w:r>
        <w:rPr>
          <w:rFonts w:ascii="Arial" w:cs="Arial" w:eastAsia="Arial" w:hAnsi="Arial"/>
          <w:b/>
          <w:bCs/>
          <w:color w:val="1f4e2c"/>
          <w:sz w:val="27"/>
          <w:szCs w:val="27"/>
        </w:rPr>
        <w:t>1. Introducción y problema científico</w:t>
      </w:r>
    </w:p>
    <w:p w14:paraId="76104D33">
      <w:pPr>
        <w:pStyle w:val="style0"/>
        <w:spacing w:after="160" w:lineRule="auto" w:line="259"/>
        <w:jc w:val="both"/>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generación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residuos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sólidos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urbanos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(RSU)</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crece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forma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acelerada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nivel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mundial: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2016</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estimó</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billones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toneladas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anuales,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pronóstico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2,59</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billones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2030</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(Kaza,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Yao,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Bhada-Tata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Van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Woerden,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2018);</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sin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embargo,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informe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más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reciente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Banco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Mundial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confirma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que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volumen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fue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superado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2022</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décadas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antes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previsto—,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proyectándose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ahora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3,86</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billones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toneladas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2050</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(Banco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Mundial,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2026).</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Cuba,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gestión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RSU</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sigue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mostrando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deficiencias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recolección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transporte,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problemas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infraestructura,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insuficiente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coordinación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entre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actores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implicados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disposición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final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inadecuada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(Cárdenas-Ferrer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2019,</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citado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Puerta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Fernández,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Monteagudo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Yanes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Cabrera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Sánchez,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2025).</w:t>
      </w:r>
    </w:p>
    <w:p w14:paraId="7EC0A092">
      <w:pPr>
        <w:pStyle w:val="style0"/>
        <w:spacing w:after="160" w:lineRule="auto" w:line="259"/>
        <w:jc w:val="both"/>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Unidad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Presupuestada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Municipal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Comunales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han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reportado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quejas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constantes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sobre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frecuencia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recogida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RSU</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distintos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Consejos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Populares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debido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que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rutas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actuales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basan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criterios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empíricos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variables.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Según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Anuario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Estadístico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(ONEI,</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2023),</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provincia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cuenta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401</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738</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habitantes,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índice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generación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RSU</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0,81</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kg/día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por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habitante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(Alonso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Pérez,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2024),</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superior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0,75</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kg/hab/día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empleado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diagnóstico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original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municipio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(ONEI,</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2018a),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que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confirma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que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presión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sobre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servicio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recogida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continúa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aumento.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ahí</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deriva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problema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científico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que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orienta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investigación: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¿qué</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ruta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optimiza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recolección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RSU</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municipio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p>
    <w:p w14:paraId="4FE1D478">
      <w:pPr>
        <w:pStyle w:val="style0"/>
        <w:spacing w:after="160" w:lineRule="auto" w:line="259"/>
        <w:jc w:val="both"/>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objetivo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general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investigación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diseñar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propuesta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rutas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recogida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RSU</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municipio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Como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objetivos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específicos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plantean: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(1)</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sistematizar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referentes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teóricos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sobre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RSU,</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sus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tendencias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recolección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tratamiento;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diagnosticar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generación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RSU</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municipio;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(3)</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seleccionar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método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diseño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rutas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acorde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características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territorio;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(4)</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aplicar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dicho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método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proponer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nuevas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rutas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recolección.</w:t>
      </w:r>
    </w:p>
    <w:p w14:paraId="8CA87556">
      <w:pPr>
        <w:pStyle w:val="style0"/>
        <w:spacing w:after="160" w:lineRule="auto" w:line="259"/>
        <w:jc w:val="both"/>
        <w:rPr/>
      </w:pPr>
      <w:r>
        <w:rPr>
          <w:rFonts w:ascii="Arial" w:cs="Arial" w:eastAsia="Arial" w:hAnsi="Arial" w:hint="default"/>
          <w:b/>
          <w:bCs/>
          <w:i w:val="false"/>
          <w:iCs w:val="false"/>
          <w:color w:val="1f4e2c"/>
          <w:sz w:val="27"/>
          <w:szCs w:val="27"/>
          <w:highlight w:val="none"/>
          <w:vertAlign w:val="baseline"/>
          <w:em w:val="none"/>
        </w:rPr>
        <w:t>2.</w:t>
      </w:r>
      <w:r>
        <w:rPr>
          <w:rFonts w:ascii="Arial" w:cs="Arial" w:eastAsia="Arial" w:hAnsi="Arial" w:hint="default"/>
          <w:b/>
          <w:bCs/>
          <w:i w:val="false"/>
          <w:iCs w:val="false"/>
          <w:color w:val="1f4e2c"/>
          <w:sz w:val="27"/>
          <w:szCs w:val="27"/>
          <w:highlight w:val="none"/>
          <w:vertAlign w:val="baseline"/>
          <w:em w:val="none"/>
        </w:rPr>
        <w:t xml:space="preserve"> </w:t>
      </w:r>
      <w:r>
        <w:rPr>
          <w:rFonts w:ascii="Arial" w:cs="Arial" w:eastAsia="Arial" w:hAnsi="Arial" w:hint="default"/>
          <w:b/>
          <w:bCs/>
          <w:i w:val="false"/>
          <w:iCs w:val="false"/>
          <w:color w:val="1f4e2c"/>
          <w:sz w:val="27"/>
          <w:szCs w:val="27"/>
          <w:highlight w:val="none"/>
          <w:vertAlign w:val="baseline"/>
          <w:em w:val="none"/>
        </w:rPr>
        <w:t>Marco</w:t>
      </w:r>
      <w:r>
        <w:rPr>
          <w:rFonts w:ascii="Arial" w:cs="Arial" w:eastAsia="Arial" w:hAnsi="Arial" w:hint="default"/>
          <w:b/>
          <w:bCs/>
          <w:i w:val="false"/>
          <w:iCs w:val="false"/>
          <w:color w:val="1f4e2c"/>
          <w:sz w:val="27"/>
          <w:szCs w:val="27"/>
          <w:highlight w:val="none"/>
          <w:vertAlign w:val="baseline"/>
          <w:em w:val="none"/>
        </w:rPr>
        <w:t xml:space="preserve"> </w:t>
      </w:r>
      <w:r>
        <w:rPr>
          <w:rFonts w:ascii="Arial" w:cs="Arial" w:eastAsia="Arial" w:hAnsi="Arial" w:hint="default"/>
          <w:b/>
          <w:bCs/>
          <w:i w:val="false"/>
          <w:iCs w:val="false"/>
          <w:color w:val="1f4e2c"/>
          <w:sz w:val="27"/>
          <w:szCs w:val="27"/>
          <w:highlight w:val="none"/>
          <w:vertAlign w:val="baseline"/>
          <w:em w:val="none"/>
        </w:rPr>
        <w:t>teórico</w:t>
      </w:r>
    </w:p>
    <w:p w14:paraId="71CE0B5E">
      <w:pPr>
        <w:pStyle w:val="style0"/>
        <w:spacing w:after="160" w:lineRule="auto" w:line="259"/>
        <w:jc w:val="both"/>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RSU</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clasifican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orgánicos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inorgánicos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nivel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internacional,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80</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gastos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su</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gestión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concentra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transporte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recogida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(Fernando,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2014).</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Entre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tendencias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actuales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destaca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incremento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reciclaje,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metas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"basura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cero"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(Correa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2017),</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así</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como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empleo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métodos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optimización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rutas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—como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problemas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ruteo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por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nodos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por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arcos—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reducir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distancia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recorrida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por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vehículos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recolectores,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consumo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combustible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emisiones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contaminantes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asociadas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(Miranda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Pérez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Figueredo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Díaz,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2023).</w:t>
      </w:r>
    </w:p>
    <w:p w14:paraId="67250724">
      <w:pPr>
        <w:pStyle w:val="style0"/>
        <w:spacing w:after="160" w:lineRule="auto" w:line="259"/>
        <w:jc w:val="both"/>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línea,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estudios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recientes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sobre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gestión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integral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RSU</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reafirman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que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municipio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enfrenta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reto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estructural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avanzar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hacia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economía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circular,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identificarse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necesidad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modelo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gestión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que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articule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políticas,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estrategias,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programas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proyectos,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incluida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actualización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índices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generación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residuos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territorio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(Alonso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Pérez,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2024).</w:t>
      </w:r>
    </w:p>
    <w:p w14:paraId="248D381E">
      <w:pPr>
        <w:pStyle w:val="style0"/>
        <w:spacing w:before="0" w:after="140" w:lineRule="auto" w:line="240"/>
        <w:jc w:val="both"/>
        <w:rPr/>
      </w:pPr>
    </w:p>
    <w:p w14:paraId="A402C494">
      <w:pPr>
        <w:pStyle w:val="style4098"/>
        <w:spacing w:before="180" w:after="100" w:lineRule="auto" w:line="240"/>
        <w:jc w:val="both"/>
        <w:rPr/>
      </w:pPr>
      <w:r>
        <w:rPr>
          <w:rFonts w:ascii="Arial" w:cs="Arial" w:eastAsia="Arial" w:hAnsi="Arial"/>
          <w:b/>
          <w:bCs/>
          <w:color w:val="1f4e2c"/>
          <w:sz w:val="27"/>
          <w:szCs w:val="27"/>
        </w:rPr>
        <w:t>3. Diagnóstico de la generación de RSU en Cienfuegos</w:t>
      </w:r>
    </w:p>
    <w:p w14:paraId="FBDDAD65">
      <w:pPr>
        <w:pStyle w:val="style0"/>
        <w:spacing w:before="0" w:after="140" w:lineRule="auto" w:line="240"/>
        <w:jc w:val="both"/>
        <w:rPr/>
      </w:pPr>
      <w:r>
        <w:rPr>
          <w:rFonts w:ascii="Arial" w:cs="Arial" w:eastAsia="Arial" w:hAnsi="Arial"/>
          <w:b w:val="false"/>
          <w:bCs w:val="false"/>
          <w:i w:val="false"/>
          <w:iCs w:val="false"/>
          <w:sz w:val="24"/>
          <w:szCs w:val="24"/>
        </w:rPr>
        <w:t>Cienfuegos es una de las provincias del país con mayor presión sobre el servicio de recogida, con un índice de generación de RSU de 0,81 kg/hab/día, el más reciente reportado para el territorio (Alonso Pérez, 2024). La Tabla 1 resume la evolución de la generación de residuos en el municipio en comparación con Ciudad de La Habana e incluye, a modo de actualización, este índice per cápita más reciente reportado para la provincia.</w:t>
      </w:r>
    </w:p>
    <w:p w14:paraId="BA602304">
      <w:pPr>
        <w:pStyle w:val="style0"/>
        <w:spacing w:before="40" w:after="140" w:lineRule="auto" w:line="240"/>
        <w:jc w:val="center"/>
        <w:rPr/>
      </w:pPr>
      <w:r>
        <w:rPr>
          <w:rFonts w:ascii="Arial" w:cs="Arial" w:eastAsia="Arial" w:hAnsi="Arial"/>
          <w:i/>
          <w:iCs/>
          <w:sz w:val="18"/>
          <w:szCs w:val="18"/>
        </w:rPr>
        <w:t>Tabla 1. Generación de RSU en Cienfuegos y Ciudad de La Habana. Fuente: Rodríguez (2019) y Alonso Pérez (2024).</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600"/>
        <w:gridCol w:w="1600"/>
        <w:gridCol w:w="1900"/>
        <w:gridCol w:w="1700"/>
        <w:gridCol w:w="1550"/>
      </w:tblGrid>
      <w:tr w14:paraId="A2A9DE26">
        <w:trPr/>
        <w:tc>
          <w:tcPr>
            <w:tcW w:w="2600" w:type="dxa"/>
            <w:tcBorders/>
            <w:shd w:val="clear" w:color="auto" w:fill="d9e2d0"/>
            <w:tcMar>
              <w:top w:w="50" w:type="dxa"/>
              <w:left w:w="70" w:type="dxa"/>
              <w:bottom w:w="50" w:type="dxa"/>
              <w:right w:w="70" w:type="dxa"/>
            </w:tcMar>
            <w:vAlign w:val="center"/>
          </w:tcPr>
          <w:p w14:paraId="86ECDC7E">
            <w:pPr>
              <w:pStyle w:val="style0"/>
              <w:spacing w:lineRule="auto" w:line="240"/>
              <w:jc w:val="center"/>
              <w:rPr/>
            </w:pPr>
            <w:r>
              <w:rPr>
                <w:rFonts w:ascii="Arial" w:cs="Arial" w:eastAsia="Arial" w:hAnsi="Arial"/>
                <w:b/>
                <w:bCs/>
                <w:sz w:val="19"/>
                <w:szCs w:val="19"/>
              </w:rPr>
              <w:t>Ciudad</w:t>
            </w:r>
          </w:p>
        </w:tc>
        <w:tc>
          <w:tcPr>
            <w:tcW w:w="1600" w:type="dxa"/>
            <w:tcBorders/>
            <w:shd w:val="clear" w:color="auto" w:fill="d9e2d0"/>
            <w:tcMar>
              <w:top w:w="50" w:type="dxa"/>
              <w:left w:w="70" w:type="dxa"/>
              <w:bottom w:w="50" w:type="dxa"/>
              <w:right w:w="70" w:type="dxa"/>
            </w:tcMar>
            <w:vAlign w:val="center"/>
          </w:tcPr>
          <w:p w14:paraId="5E644886">
            <w:pPr>
              <w:pStyle w:val="style0"/>
              <w:spacing w:lineRule="auto" w:line="240"/>
              <w:jc w:val="center"/>
              <w:rPr/>
            </w:pPr>
            <w:r>
              <w:rPr>
                <w:rFonts w:ascii="Arial" w:cs="Arial" w:eastAsia="Arial" w:hAnsi="Arial"/>
                <w:b/>
                <w:bCs/>
                <w:sz w:val="19"/>
                <w:szCs w:val="19"/>
              </w:rPr>
              <w:t>Año</w:t>
            </w:r>
          </w:p>
        </w:tc>
        <w:tc>
          <w:tcPr>
            <w:tcW w:w="1900" w:type="dxa"/>
            <w:tcBorders/>
            <w:shd w:val="clear" w:color="auto" w:fill="d9e2d0"/>
            <w:tcMar>
              <w:top w:w="50" w:type="dxa"/>
              <w:left w:w="70" w:type="dxa"/>
              <w:bottom w:w="50" w:type="dxa"/>
              <w:right w:w="70" w:type="dxa"/>
            </w:tcMar>
            <w:vAlign w:val="center"/>
          </w:tcPr>
          <w:p w14:paraId="74DDF300">
            <w:pPr>
              <w:pStyle w:val="style0"/>
              <w:spacing w:lineRule="auto" w:line="240"/>
              <w:jc w:val="center"/>
              <w:rPr/>
            </w:pPr>
            <w:r>
              <w:rPr>
                <w:rFonts w:ascii="Arial" w:cs="Arial" w:eastAsia="Arial" w:hAnsi="Arial"/>
                <w:b/>
                <w:bCs/>
                <w:sz w:val="19"/>
                <w:szCs w:val="19"/>
              </w:rPr>
              <w:t>Población</w:t>
            </w:r>
          </w:p>
        </w:tc>
        <w:tc>
          <w:tcPr>
            <w:tcW w:w="1700" w:type="dxa"/>
            <w:tcBorders/>
            <w:shd w:val="clear" w:color="auto" w:fill="d9e2d0"/>
            <w:tcMar>
              <w:top w:w="50" w:type="dxa"/>
              <w:left w:w="70" w:type="dxa"/>
              <w:bottom w:w="50" w:type="dxa"/>
              <w:right w:w="70" w:type="dxa"/>
            </w:tcMar>
            <w:vAlign w:val="center"/>
          </w:tcPr>
          <w:p w14:paraId="FD6C19E0">
            <w:pPr>
              <w:pStyle w:val="style0"/>
              <w:spacing w:lineRule="auto" w:line="240"/>
              <w:jc w:val="center"/>
              <w:rPr/>
            </w:pPr>
            <w:r>
              <w:rPr>
                <w:rFonts w:ascii="Arial" w:cs="Arial" w:eastAsia="Arial" w:hAnsi="Arial"/>
                <w:b/>
                <w:bCs/>
                <w:sz w:val="19"/>
                <w:szCs w:val="19"/>
              </w:rPr>
              <w:t>Índice (kg/hab/día)</w:t>
            </w:r>
          </w:p>
        </w:tc>
        <w:tc>
          <w:tcPr>
            <w:tcW w:w="1550" w:type="dxa"/>
            <w:tcBorders/>
            <w:shd w:val="clear" w:color="auto" w:fill="d9e2d0"/>
            <w:tcMar>
              <w:top w:w="50" w:type="dxa"/>
              <w:left w:w="70" w:type="dxa"/>
              <w:bottom w:w="50" w:type="dxa"/>
              <w:right w:w="70" w:type="dxa"/>
            </w:tcMar>
            <w:vAlign w:val="center"/>
          </w:tcPr>
          <w:p w14:paraId="EB4ECAF6">
            <w:pPr>
              <w:pStyle w:val="style0"/>
              <w:spacing w:lineRule="auto" w:line="240"/>
              <w:jc w:val="center"/>
              <w:rPr/>
            </w:pPr>
            <w:r>
              <w:rPr>
                <w:rFonts w:ascii="Arial" w:cs="Arial" w:eastAsia="Arial" w:hAnsi="Arial"/>
                <w:b/>
                <w:bCs/>
                <w:sz w:val="19"/>
                <w:szCs w:val="19"/>
              </w:rPr>
              <w:t>Total (ton/día)</w:t>
            </w:r>
          </w:p>
        </w:tc>
      </w:tr>
      <w:tr w14:paraId="507C521B">
        <w:tblPrEx/>
        <w:trPr/>
        <w:tc>
          <w:tcPr>
            <w:tcW w:w="2600" w:type="dxa"/>
            <w:tcBorders/>
            <w:tcMar>
              <w:top w:w="50" w:type="dxa"/>
              <w:left w:w="70" w:type="dxa"/>
              <w:bottom w:w="50" w:type="dxa"/>
              <w:right w:w="70" w:type="dxa"/>
            </w:tcMar>
            <w:vAlign w:val="center"/>
          </w:tcPr>
          <w:p w14:paraId="7344A37B">
            <w:pPr>
              <w:pStyle w:val="style0"/>
              <w:spacing w:lineRule="auto" w:line="240"/>
              <w:jc w:val="left"/>
              <w:rPr/>
            </w:pPr>
            <w:r>
              <w:rPr>
                <w:rFonts w:ascii="Arial" w:cs="Arial" w:eastAsia="Arial" w:hAnsi="Arial"/>
                <w:b w:val="false"/>
                <w:bCs w:val="false"/>
                <w:sz w:val="19"/>
                <w:szCs w:val="19"/>
              </w:rPr>
              <w:t>Ciudad de La Habana</w:t>
            </w:r>
          </w:p>
        </w:tc>
        <w:tc>
          <w:tcPr>
            <w:tcW w:w="1600" w:type="dxa"/>
            <w:tcBorders/>
            <w:tcMar>
              <w:top w:w="50" w:type="dxa"/>
              <w:left w:w="70" w:type="dxa"/>
              <w:bottom w:w="50" w:type="dxa"/>
              <w:right w:w="70" w:type="dxa"/>
            </w:tcMar>
            <w:vAlign w:val="center"/>
          </w:tcPr>
          <w:p w14:paraId="A0ACC198">
            <w:pPr>
              <w:pStyle w:val="style0"/>
              <w:spacing w:lineRule="auto" w:line="240"/>
              <w:jc w:val="center"/>
              <w:rPr/>
            </w:pPr>
            <w:r>
              <w:rPr>
                <w:rFonts w:ascii="Arial" w:cs="Arial" w:eastAsia="Arial" w:hAnsi="Arial"/>
                <w:b w:val="false"/>
                <w:bCs w:val="false"/>
                <w:sz w:val="19"/>
                <w:szCs w:val="19"/>
              </w:rPr>
              <w:t>2001</w:t>
            </w:r>
          </w:p>
        </w:tc>
        <w:tc>
          <w:tcPr>
            <w:tcW w:w="1900" w:type="dxa"/>
            <w:tcBorders/>
            <w:tcMar>
              <w:top w:w="50" w:type="dxa"/>
              <w:left w:w="70" w:type="dxa"/>
              <w:bottom w:w="50" w:type="dxa"/>
              <w:right w:w="70" w:type="dxa"/>
            </w:tcMar>
            <w:vAlign w:val="center"/>
          </w:tcPr>
          <w:p w14:paraId="9323AB5A">
            <w:pPr>
              <w:pStyle w:val="style0"/>
              <w:spacing w:lineRule="auto" w:line="240"/>
              <w:jc w:val="center"/>
              <w:rPr/>
            </w:pPr>
            <w:r>
              <w:rPr>
                <w:rFonts w:ascii="Arial" w:cs="Arial" w:eastAsia="Arial" w:hAnsi="Arial"/>
                <w:b w:val="false"/>
                <w:bCs w:val="false"/>
                <w:sz w:val="19"/>
                <w:szCs w:val="19"/>
              </w:rPr>
              <w:t>2 186 632</w:t>
            </w:r>
          </w:p>
        </w:tc>
        <w:tc>
          <w:tcPr>
            <w:tcW w:w="1700" w:type="dxa"/>
            <w:tcBorders/>
            <w:tcMar>
              <w:top w:w="50" w:type="dxa"/>
              <w:left w:w="70" w:type="dxa"/>
              <w:bottom w:w="50" w:type="dxa"/>
              <w:right w:w="70" w:type="dxa"/>
            </w:tcMar>
            <w:vAlign w:val="center"/>
          </w:tcPr>
          <w:p w14:paraId="7EE14218">
            <w:pPr>
              <w:pStyle w:val="style0"/>
              <w:spacing w:lineRule="auto" w:line="240"/>
              <w:jc w:val="center"/>
              <w:rPr/>
            </w:pPr>
            <w:r>
              <w:rPr>
                <w:rFonts w:ascii="Arial" w:cs="Arial" w:eastAsia="Arial" w:hAnsi="Arial"/>
                <w:b w:val="false"/>
                <w:bCs w:val="false"/>
                <w:sz w:val="19"/>
                <w:szCs w:val="19"/>
              </w:rPr>
              <w:t>0,75</w:t>
            </w:r>
          </w:p>
        </w:tc>
        <w:tc>
          <w:tcPr>
            <w:tcW w:w="1550" w:type="dxa"/>
            <w:tcBorders/>
            <w:tcMar>
              <w:top w:w="50" w:type="dxa"/>
              <w:left w:w="70" w:type="dxa"/>
              <w:bottom w:w="50" w:type="dxa"/>
              <w:right w:w="70" w:type="dxa"/>
            </w:tcMar>
            <w:vAlign w:val="center"/>
          </w:tcPr>
          <w:p w14:paraId="12FF6CD6">
            <w:pPr>
              <w:pStyle w:val="style0"/>
              <w:spacing w:lineRule="auto" w:line="240"/>
              <w:jc w:val="center"/>
              <w:rPr/>
            </w:pPr>
            <w:r>
              <w:rPr>
                <w:rFonts w:ascii="Arial" w:cs="Arial" w:eastAsia="Arial" w:hAnsi="Arial"/>
                <w:b w:val="false"/>
                <w:bCs w:val="false"/>
                <w:sz w:val="19"/>
                <w:szCs w:val="19"/>
              </w:rPr>
              <w:t>1 640</w:t>
            </w:r>
          </w:p>
        </w:tc>
      </w:tr>
      <w:tr w14:paraId="8913E102">
        <w:tblPrEx/>
        <w:trPr/>
        <w:tc>
          <w:tcPr>
            <w:tcW w:w="2600" w:type="dxa"/>
            <w:tcBorders/>
            <w:tcMar>
              <w:top w:w="50" w:type="dxa"/>
              <w:left w:w="70" w:type="dxa"/>
              <w:bottom w:w="50" w:type="dxa"/>
              <w:right w:w="70" w:type="dxa"/>
            </w:tcMar>
            <w:vAlign w:val="center"/>
          </w:tcPr>
          <w:p w14:paraId="50AF82EC">
            <w:pPr>
              <w:pStyle w:val="style0"/>
              <w:spacing w:lineRule="auto" w:line="240"/>
              <w:jc w:val="left"/>
              <w:rPr/>
            </w:pPr>
            <w:r>
              <w:rPr>
                <w:rFonts w:ascii="Arial" w:cs="Arial" w:eastAsia="Arial" w:hAnsi="Arial"/>
                <w:b w:val="false"/>
                <w:bCs w:val="false"/>
                <w:sz w:val="19"/>
                <w:szCs w:val="19"/>
              </w:rPr>
              <w:t>Cienfuegos</w:t>
            </w:r>
          </w:p>
        </w:tc>
        <w:tc>
          <w:tcPr>
            <w:tcW w:w="1600" w:type="dxa"/>
            <w:tcBorders/>
            <w:tcMar>
              <w:top w:w="50" w:type="dxa"/>
              <w:left w:w="70" w:type="dxa"/>
              <w:bottom w:w="50" w:type="dxa"/>
              <w:right w:w="70" w:type="dxa"/>
            </w:tcMar>
            <w:vAlign w:val="center"/>
          </w:tcPr>
          <w:p w14:paraId="0967E2B5">
            <w:pPr>
              <w:pStyle w:val="style0"/>
              <w:spacing w:lineRule="auto" w:line="240"/>
              <w:jc w:val="center"/>
              <w:rPr/>
            </w:pPr>
            <w:r>
              <w:rPr>
                <w:rFonts w:ascii="Arial" w:cs="Arial" w:eastAsia="Arial" w:hAnsi="Arial"/>
                <w:b w:val="false"/>
                <w:bCs w:val="false"/>
                <w:sz w:val="19"/>
                <w:szCs w:val="19"/>
              </w:rPr>
              <w:t>2001</w:t>
            </w:r>
          </w:p>
        </w:tc>
        <w:tc>
          <w:tcPr>
            <w:tcW w:w="1900" w:type="dxa"/>
            <w:tcBorders/>
            <w:tcMar>
              <w:top w:w="50" w:type="dxa"/>
              <w:left w:w="70" w:type="dxa"/>
              <w:bottom w:w="50" w:type="dxa"/>
              <w:right w:w="70" w:type="dxa"/>
            </w:tcMar>
            <w:vAlign w:val="center"/>
          </w:tcPr>
          <w:p w14:paraId="BA361EC7">
            <w:pPr>
              <w:pStyle w:val="style0"/>
              <w:spacing w:lineRule="auto" w:line="240"/>
              <w:jc w:val="center"/>
              <w:rPr/>
            </w:pPr>
            <w:r>
              <w:rPr>
                <w:rFonts w:ascii="Arial" w:cs="Arial" w:eastAsia="Arial" w:hAnsi="Arial"/>
                <w:b w:val="false"/>
                <w:bCs w:val="false"/>
                <w:sz w:val="19"/>
                <w:szCs w:val="19"/>
              </w:rPr>
              <w:t>154 897</w:t>
            </w:r>
          </w:p>
        </w:tc>
        <w:tc>
          <w:tcPr>
            <w:tcW w:w="1700" w:type="dxa"/>
            <w:tcBorders/>
            <w:tcMar>
              <w:top w:w="50" w:type="dxa"/>
              <w:left w:w="70" w:type="dxa"/>
              <w:bottom w:w="50" w:type="dxa"/>
              <w:right w:w="70" w:type="dxa"/>
            </w:tcMar>
            <w:vAlign w:val="center"/>
          </w:tcPr>
          <w:p w14:paraId="F823F295">
            <w:pPr>
              <w:pStyle w:val="style0"/>
              <w:spacing w:lineRule="auto" w:line="240"/>
              <w:jc w:val="center"/>
              <w:rPr/>
            </w:pPr>
            <w:r>
              <w:rPr>
                <w:rFonts w:ascii="Arial" w:cs="Arial" w:eastAsia="Arial" w:hAnsi="Arial"/>
                <w:b w:val="false"/>
                <w:bCs w:val="false"/>
                <w:sz w:val="19"/>
                <w:szCs w:val="19"/>
              </w:rPr>
              <w:t>0,75</w:t>
            </w:r>
          </w:p>
        </w:tc>
        <w:tc>
          <w:tcPr>
            <w:tcW w:w="1550" w:type="dxa"/>
            <w:tcBorders/>
            <w:tcMar>
              <w:top w:w="50" w:type="dxa"/>
              <w:left w:w="70" w:type="dxa"/>
              <w:bottom w:w="50" w:type="dxa"/>
              <w:right w:w="70" w:type="dxa"/>
            </w:tcMar>
            <w:vAlign w:val="center"/>
          </w:tcPr>
          <w:p w14:paraId="CEFC675F">
            <w:pPr>
              <w:pStyle w:val="style0"/>
              <w:spacing w:lineRule="auto" w:line="240"/>
              <w:jc w:val="center"/>
              <w:rPr/>
            </w:pPr>
            <w:r>
              <w:rPr>
                <w:rFonts w:ascii="Arial" w:cs="Arial" w:eastAsia="Arial" w:hAnsi="Arial"/>
                <w:b w:val="false"/>
                <w:bCs w:val="false"/>
                <w:sz w:val="19"/>
                <w:szCs w:val="19"/>
              </w:rPr>
              <w:t>116</w:t>
            </w:r>
          </w:p>
        </w:tc>
      </w:tr>
      <w:tr w14:paraId="5C46BAE0">
        <w:tblPrEx/>
        <w:trPr/>
        <w:tc>
          <w:tcPr>
            <w:tcW w:w="2600" w:type="dxa"/>
            <w:tcBorders/>
            <w:tcMar>
              <w:top w:w="50" w:type="dxa"/>
              <w:left w:w="70" w:type="dxa"/>
              <w:bottom w:w="50" w:type="dxa"/>
              <w:right w:w="70" w:type="dxa"/>
            </w:tcMar>
            <w:vAlign w:val="center"/>
          </w:tcPr>
          <w:p w14:paraId="9B557D6F">
            <w:pPr>
              <w:pStyle w:val="style0"/>
              <w:spacing w:lineRule="auto" w:line="240"/>
              <w:jc w:val="left"/>
              <w:rPr/>
            </w:pPr>
            <w:r>
              <w:rPr>
                <w:rFonts w:ascii="Arial" w:cs="Arial" w:eastAsia="Arial" w:hAnsi="Arial"/>
                <w:b w:val="false"/>
                <w:bCs w:val="false"/>
                <w:sz w:val="19"/>
                <w:szCs w:val="19"/>
              </w:rPr>
              <w:t>Cienfuegos</w:t>
            </w:r>
          </w:p>
        </w:tc>
        <w:tc>
          <w:tcPr>
            <w:tcW w:w="1600" w:type="dxa"/>
            <w:tcBorders/>
            <w:tcMar>
              <w:top w:w="50" w:type="dxa"/>
              <w:left w:w="70" w:type="dxa"/>
              <w:bottom w:w="50" w:type="dxa"/>
              <w:right w:w="70" w:type="dxa"/>
            </w:tcMar>
            <w:vAlign w:val="center"/>
          </w:tcPr>
          <w:p w14:paraId="59FA5307">
            <w:pPr>
              <w:pStyle w:val="style0"/>
              <w:spacing w:lineRule="auto" w:line="240"/>
              <w:jc w:val="center"/>
              <w:rPr/>
            </w:pPr>
            <w:r>
              <w:rPr>
                <w:rFonts w:ascii="Arial" w:cs="Arial" w:eastAsia="Arial" w:hAnsi="Arial"/>
                <w:b w:val="false"/>
                <w:bCs w:val="false"/>
                <w:sz w:val="19"/>
                <w:szCs w:val="19"/>
              </w:rPr>
              <w:t>2017</w:t>
            </w:r>
          </w:p>
        </w:tc>
        <w:tc>
          <w:tcPr>
            <w:tcW w:w="1900" w:type="dxa"/>
            <w:tcBorders/>
            <w:tcMar>
              <w:top w:w="50" w:type="dxa"/>
              <w:left w:w="70" w:type="dxa"/>
              <w:bottom w:w="50" w:type="dxa"/>
              <w:right w:w="70" w:type="dxa"/>
            </w:tcMar>
            <w:vAlign w:val="center"/>
          </w:tcPr>
          <w:p w14:paraId="C7CC9D9A">
            <w:pPr>
              <w:pStyle w:val="style0"/>
              <w:spacing w:lineRule="auto" w:line="240"/>
              <w:jc w:val="center"/>
              <w:rPr/>
            </w:pPr>
            <w:r>
              <w:rPr>
                <w:rFonts w:ascii="Arial" w:cs="Arial" w:eastAsia="Arial" w:hAnsi="Arial"/>
                <w:b w:val="false"/>
                <w:bCs w:val="false"/>
                <w:sz w:val="19"/>
                <w:szCs w:val="19"/>
              </w:rPr>
              <w:t>176 244</w:t>
            </w:r>
          </w:p>
        </w:tc>
        <w:tc>
          <w:tcPr>
            <w:tcW w:w="1700" w:type="dxa"/>
            <w:tcBorders/>
            <w:tcMar>
              <w:top w:w="50" w:type="dxa"/>
              <w:left w:w="70" w:type="dxa"/>
              <w:bottom w:w="50" w:type="dxa"/>
              <w:right w:w="70" w:type="dxa"/>
            </w:tcMar>
            <w:vAlign w:val="center"/>
          </w:tcPr>
          <w:p w14:paraId="E5EAE6E0">
            <w:pPr>
              <w:pStyle w:val="style0"/>
              <w:spacing w:lineRule="auto" w:line="240"/>
              <w:jc w:val="center"/>
              <w:rPr/>
            </w:pPr>
            <w:r>
              <w:rPr>
                <w:rFonts w:ascii="Arial" w:cs="Arial" w:eastAsia="Arial" w:hAnsi="Arial"/>
                <w:b w:val="false"/>
                <w:bCs w:val="false"/>
                <w:sz w:val="19"/>
                <w:szCs w:val="19"/>
              </w:rPr>
              <w:t>0,75</w:t>
            </w:r>
          </w:p>
        </w:tc>
        <w:tc>
          <w:tcPr>
            <w:tcW w:w="1550" w:type="dxa"/>
            <w:tcBorders/>
            <w:tcMar>
              <w:top w:w="50" w:type="dxa"/>
              <w:left w:w="70" w:type="dxa"/>
              <w:bottom w:w="50" w:type="dxa"/>
              <w:right w:w="70" w:type="dxa"/>
            </w:tcMar>
            <w:vAlign w:val="center"/>
          </w:tcPr>
          <w:p w14:paraId="51FD1A2A">
            <w:pPr>
              <w:pStyle w:val="style0"/>
              <w:spacing w:lineRule="auto" w:line="240"/>
              <w:jc w:val="center"/>
              <w:rPr/>
            </w:pPr>
            <w:r>
              <w:rPr>
                <w:rFonts w:ascii="Arial" w:cs="Arial" w:eastAsia="Arial" w:hAnsi="Arial"/>
                <w:b w:val="false"/>
                <w:bCs w:val="false"/>
                <w:sz w:val="19"/>
                <w:szCs w:val="19"/>
              </w:rPr>
              <w:t>318</w:t>
            </w:r>
          </w:p>
        </w:tc>
      </w:tr>
      <w:tr w14:paraId="044D6732">
        <w:tblPrEx/>
        <w:trPr/>
        <w:tc>
          <w:tcPr>
            <w:tcW w:w="2600" w:type="dxa"/>
            <w:tcBorders/>
            <w:tcMar>
              <w:top w:w="50" w:type="dxa"/>
              <w:left w:w="70" w:type="dxa"/>
              <w:bottom w:w="50" w:type="dxa"/>
              <w:right w:w="70" w:type="dxa"/>
            </w:tcMar>
            <w:vAlign w:val="center"/>
          </w:tcPr>
          <w:p w14:paraId="7C276DD7">
            <w:pPr>
              <w:pStyle w:val="style0"/>
              <w:spacing w:lineRule="auto" w:line="240"/>
              <w:jc w:val="left"/>
              <w:rPr/>
            </w:pPr>
            <w:r>
              <w:rPr>
                <w:rFonts w:ascii="Arial" w:cs="Arial" w:eastAsia="Arial" w:hAnsi="Arial"/>
                <w:b w:val="false"/>
                <w:bCs w:val="false"/>
                <w:sz w:val="19"/>
                <w:szCs w:val="19"/>
              </w:rPr>
              <w:t>Cienfuegos</w:t>
            </w:r>
          </w:p>
        </w:tc>
        <w:tc>
          <w:tcPr>
            <w:tcW w:w="1600" w:type="dxa"/>
            <w:tcBorders/>
            <w:tcMar>
              <w:top w:w="50" w:type="dxa"/>
              <w:left w:w="70" w:type="dxa"/>
              <w:bottom w:w="50" w:type="dxa"/>
              <w:right w:w="70" w:type="dxa"/>
            </w:tcMar>
            <w:vAlign w:val="center"/>
          </w:tcPr>
          <w:p w14:paraId="87A7535A">
            <w:pPr>
              <w:pStyle w:val="style0"/>
              <w:spacing w:lineRule="auto" w:line="240"/>
              <w:jc w:val="center"/>
              <w:rPr/>
            </w:pPr>
            <w:r>
              <w:rPr>
                <w:rFonts w:ascii="Arial" w:cs="Arial" w:eastAsia="Arial" w:hAnsi="Arial"/>
                <w:b w:val="false"/>
                <w:bCs w:val="false"/>
                <w:sz w:val="19"/>
                <w:szCs w:val="19"/>
              </w:rPr>
              <w:t>2024*</w:t>
            </w:r>
          </w:p>
        </w:tc>
        <w:tc>
          <w:tcPr>
            <w:tcW w:w="1900" w:type="dxa"/>
            <w:tcBorders/>
            <w:tcMar>
              <w:top w:w="50" w:type="dxa"/>
              <w:left w:w="70" w:type="dxa"/>
              <w:bottom w:w="50" w:type="dxa"/>
              <w:right w:w="70" w:type="dxa"/>
            </w:tcMar>
            <w:vAlign w:val="center"/>
          </w:tcPr>
          <w:p w14:paraId="9DDA5938">
            <w:pPr>
              <w:pStyle w:val="style0"/>
              <w:spacing w:lineRule="auto" w:line="240"/>
              <w:jc w:val="center"/>
              <w:rPr/>
            </w:pPr>
            <w:r>
              <w:rPr>
                <w:rFonts w:ascii="Arial" w:cs="Arial" w:eastAsia="Arial" w:hAnsi="Arial"/>
                <w:b w:val="false"/>
                <w:bCs w:val="false"/>
                <w:sz w:val="19"/>
                <w:szCs w:val="19"/>
              </w:rPr>
              <w:t>—</w:t>
            </w:r>
          </w:p>
        </w:tc>
        <w:tc>
          <w:tcPr>
            <w:tcW w:w="1700" w:type="dxa"/>
            <w:tcBorders/>
            <w:tcMar>
              <w:top w:w="50" w:type="dxa"/>
              <w:left w:w="70" w:type="dxa"/>
              <w:bottom w:w="50" w:type="dxa"/>
              <w:right w:w="70" w:type="dxa"/>
            </w:tcMar>
            <w:vAlign w:val="center"/>
          </w:tcPr>
          <w:p w14:paraId="89DF4C34">
            <w:pPr>
              <w:pStyle w:val="style0"/>
              <w:spacing w:lineRule="auto" w:line="240"/>
              <w:jc w:val="center"/>
              <w:rPr/>
            </w:pPr>
            <w:r>
              <w:rPr>
                <w:rFonts w:ascii="Arial" w:cs="Arial" w:eastAsia="Arial" w:hAnsi="Arial"/>
                <w:b w:val="false"/>
                <w:bCs w:val="false"/>
                <w:sz w:val="19"/>
                <w:szCs w:val="19"/>
              </w:rPr>
              <w:t>0,81</w:t>
            </w:r>
          </w:p>
        </w:tc>
        <w:tc>
          <w:tcPr>
            <w:tcW w:w="1550" w:type="dxa"/>
            <w:tcBorders/>
            <w:tcMar>
              <w:top w:w="50" w:type="dxa"/>
              <w:left w:w="70" w:type="dxa"/>
              <w:bottom w:w="50" w:type="dxa"/>
              <w:right w:w="70" w:type="dxa"/>
            </w:tcMar>
            <w:vAlign w:val="center"/>
          </w:tcPr>
          <w:p w14:paraId="26956C9F">
            <w:pPr>
              <w:pStyle w:val="style0"/>
              <w:spacing w:lineRule="auto" w:line="240"/>
              <w:jc w:val="center"/>
              <w:rPr/>
            </w:pPr>
            <w:r>
              <w:rPr>
                <w:rFonts w:ascii="Arial" w:cs="Arial" w:eastAsia="Arial" w:hAnsi="Arial"/>
                <w:b w:val="false"/>
                <w:bCs w:val="false"/>
                <w:sz w:val="19"/>
                <w:szCs w:val="19"/>
              </w:rPr>
              <w:t>—</w:t>
            </w:r>
          </w:p>
        </w:tc>
      </w:tr>
    </w:tbl>
    <w:p w14:paraId="432C698B">
      <w:pPr>
        <w:pStyle w:val="style0"/>
        <w:spacing w:before="0" w:after="140" w:lineRule="auto" w:line="240"/>
        <w:jc w:val="both"/>
        <w:rPr/>
      </w:pPr>
      <w:r>
        <w:rPr>
          <w:rFonts w:ascii="Arial" w:cs="Arial" w:eastAsia="Arial" w:hAnsi="Arial"/>
          <w:b w:val="false"/>
          <w:bCs w:val="false"/>
          <w:i w:val="false"/>
          <w:iCs w:val="false"/>
          <w:sz w:val="24"/>
          <w:szCs w:val="24"/>
        </w:rPr>
        <w:t>*Índice de generación per cápita reportado más recientemente para la provincia de Cienfuegos (Alonso Pérez, 2024), superior al de 0,75 kg/hab/día empleado en el diagnóstico original, lo que confirma que la presión sobre el servicio de recogida continúa en aumento y refuerza la pertinencia de optimizar las rutas de recolección.</w:t>
      </w:r>
    </w:p>
    <w:p w14:paraId="8A504AEC">
      <w:pPr>
        <w:pStyle w:val="style0"/>
        <w:spacing w:before="0" w:after="140" w:lineRule="auto" w:line="240"/>
        <w:jc w:val="both"/>
        <w:rPr/>
      </w:pPr>
      <w:r>
        <w:rPr>
          <w:rFonts w:ascii="Arial" w:cs="Arial" w:eastAsia="Arial" w:hAnsi="Arial"/>
          <w:b w:val="false"/>
          <w:bCs w:val="false"/>
          <w:i w:val="false"/>
          <w:iCs w:val="false"/>
          <w:sz w:val="24"/>
          <w:szCs w:val="24"/>
        </w:rPr>
        <w:t>El municipio cuenta con 19 CP (11 urbanos y 8 mixtos) y 7 vertederos, de los cuales solo 6 funcionan. Los RSU están compuestos, en su mayoría, por materia orgánica (59,45 %) e inorgánica (40,55 %) (Hoornweg y Bhada-Tata, 2012), y el municipio genera un promedio de 600 m³ diarios, de los que 356,7 m³ corresponden a RSU orgánicos y 243,3 m³ a inorgánicos.</w:t>
      </w:r>
    </w:p>
    <w:p w14:paraId="286186BA">
      <w:pPr>
        <w:pStyle w:val="style4098"/>
        <w:spacing w:before="180" w:after="100" w:lineRule="auto" w:line="240"/>
        <w:jc w:val="left"/>
        <w:rPr/>
      </w:pPr>
      <w:r>
        <w:rPr>
          <w:rFonts w:ascii="Arial" w:cs="Arial" w:eastAsia="Arial" w:hAnsi="Arial"/>
          <w:b/>
          <w:bCs/>
          <w:color w:val="1f4e2c"/>
          <w:sz w:val="27"/>
          <w:szCs w:val="27"/>
        </w:rPr>
        <w:t>4. Selección del método y de los Consejos Populares</w:t>
      </w:r>
    </w:p>
    <w:p w14:paraId="CE1A9A64">
      <w:pPr>
        <w:pStyle w:val="style0"/>
        <w:spacing w:before="0" w:after="140" w:lineRule="auto" w:line="240"/>
        <w:jc w:val="both"/>
        <w:rPr/>
      </w:pPr>
      <w:r>
        <w:rPr>
          <w:rFonts w:ascii="Arial" w:cs="Arial" w:eastAsia="Arial" w:hAnsi="Arial"/>
          <w:b w:val="false"/>
          <w:bCs w:val="false"/>
          <w:i w:val="false"/>
          <w:iCs w:val="false"/>
          <w:sz w:val="24"/>
          <w:szCs w:val="24"/>
        </w:rPr>
        <w:t xml:space="preserve">Para el estudio se emplearon entrevistas, revisión documental, trabajo con expertos, mapeo de procesos y diagrama causa-efecto, con apoyo de Microsoft Excel e IBM SPSS Statistics 19. Entre los métodos de ruteo analizados (problemas de rutas por nodos y por arcos), se seleccionó el </w:t>
      </w:r>
      <w:r>
        <w:rPr>
          <w:rFonts w:ascii="Arial" w:cs="Arial" w:eastAsia="Arial" w:hAnsi="Arial"/>
          <w:b/>
          <w:bCs/>
          <w:i w:val="false"/>
          <w:iCs w:val="false"/>
          <w:sz w:val="24"/>
          <w:szCs w:val="24"/>
        </w:rPr>
        <w:t>Método del Cartero Chino</w:t>
      </w:r>
      <w:r>
        <w:rPr>
          <w:rFonts w:ascii="Arial" w:cs="Arial" w:eastAsia="Arial" w:hAnsi="Arial"/>
          <w:b w:val="false"/>
          <w:bCs w:val="false"/>
          <w:i w:val="false"/>
          <w:iCs w:val="false"/>
          <w:sz w:val="24"/>
          <w:szCs w:val="24"/>
        </w:rPr>
        <w:t>, por adaptarse a las características del servicio de recogida de RSU en Cienfuegos, donde el vehículo debe recorrer todas las calles (arcos) de una zona al menos una vez, minimizando la distancia total recorrida (Corberán, 2014). Este mismo enfoque ha sido aplicado con éxito en estudios recientes de ruteo vehicular para la recolección de RSU en la propia ciudad de Cienfuegos, con reducciones de hasta un 66 % en la distancia recorrida (Miranda Pérez y Figueredo Díaz, 2023).</w:t>
      </w:r>
    </w:p>
    <w:p w14:paraId="DA6ECF10">
      <w:pPr>
        <w:pStyle w:val="style0"/>
        <w:spacing w:before="0" w:after="140" w:lineRule="auto" w:line="240"/>
        <w:jc w:val="both"/>
        <w:rPr/>
      </w:pPr>
      <w:r>
        <w:rPr>
          <w:rFonts w:ascii="Arial" w:cs="Arial" w:eastAsia="Arial" w:hAnsi="Arial"/>
          <w:b w:val="false"/>
          <w:bCs w:val="false"/>
          <w:i w:val="false"/>
          <w:iCs w:val="false"/>
          <w:sz w:val="24"/>
          <w:szCs w:val="24"/>
        </w:rPr>
        <w:t>Para seleccionar los CP a intervenir se analizaron tres variables: población, generación de RSU y cantidad de quejas registradas en los últimos tres años. La Tabla 2 muestra los tres Consejos Populares seleccionados por presentar los valores más altos en dichas variables.</w:t>
      </w:r>
    </w:p>
    <w:p w14:paraId="FF9919D8">
      <w:pPr>
        <w:pStyle w:val="style0"/>
        <w:spacing w:before="40" w:after="140" w:lineRule="auto" w:line="240"/>
        <w:jc w:val="center"/>
        <w:rPr/>
      </w:pPr>
      <w:r>
        <w:rPr>
          <w:rFonts w:ascii="Arial" w:cs="Arial" w:eastAsia="Arial" w:hAnsi="Arial"/>
          <w:i/>
          <w:iCs/>
          <w:sz w:val="18"/>
          <w:szCs w:val="18"/>
        </w:rPr>
        <w:t>Tabla 2. Consejos Populares seleccionados para el diseño de rutas. Fuente: elaboración propia.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850"/>
        <w:gridCol w:w="2200"/>
        <w:gridCol w:w="2500"/>
        <w:gridCol w:w="1800"/>
      </w:tblGrid>
      <w:tr w14:paraId="464F579A">
        <w:trPr/>
        <w:tc>
          <w:tcPr>
            <w:tcW w:w="2850" w:type="dxa"/>
            <w:tcBorders/>
            <w:shd w:val="clear" w:color="auto" w:fill="d9e2d0"/>
            <w:tcMar>
              <w:top w:w="50" w:type="dxa"/>
              <w:left w:w="70" w:type="dxa"/>
              <w:bottom w:w="50" w:type="dxa"/>
              <w:right w:w="70" w:type="dxa"/>
            </w:tcMar>
            <w:vAlign w:val="center"/>
          </w:tcPr>
          <w:p w14:paraId="9EB311E3">
            <w:pPr>
              <w:pStyle w:val="style0"/>
              <w:spacing w:lineRule="auto" w:line="240"/>
              <w:jc w:val="left"/>
              <w:rPr/>
            </w:pPr>
            <w:r>
              <w:rPr>
                <w:rFonts w:ascii="Arial" w:cs="Arial" w:eastAsia="Arial" w:hAnsi="Arial"/>
                <w:b/>
                <w:bCs/>
                <w:sz w:val="19"/>
                <w:szCs w:val="19"/>
              </w:rPr>
              <w:t>Consejo Popular</w:t>
            </w:r>
          </w:p>
        </w:tc>
        <w:tc>
          <w:tcPr>
            <w:tcW w:w="2200" w:type="dxa"/>
            <w:tcBorders/>
            <w:shd w:val="clear" w:color="auto" w:fill="d9e2d0"/>
            <w:tcMar>
              <w:top w:w="50" w:type="dxa"/>
              <w:left w:w="70" w:type="dxa"/>
              <w:bottom w:w="50" w:type="dxa"/>
              <w:right w:w="70" w:type="dxa"/>
            </w:tcMar>
            <w:vAlign w:val="center"/>
          </w:tcPr>
          <w:p w14:paraId="C6D6D493">
            <w:pPr>
              <w:pStyle w:val="style0"/>
              <w:spacing w:lineRule="auto" w:line="240"/>
              <w:jc w:val="center"/>
              <w:rPr/>
            </w:pPr>
            <w:r>
              <w:rPr>
                <w:rFonts w:ascii="Arial" w:cs="Arial" w:eastAsia="Arial" w:hAnsi="Arial"/>
                <w:b/>
                <w:bCs/>
                <w:sz w:val="19"/>
                <w:szCs w:val="19"/>
              </w:rPr>
              <w:t>Población (hab.)</w:t>
            </w:r>
          </w:p>
        </w:tc>
        <w:tc>
          <w:tcPr>
            <w:tcW w:w="2500" w:type="dxa"/>
            <w:tcBorders/>
            <w:shd w:val="clear" w:color="auto" w:fill="d9e2d0"/>
            <w:tcMar>
              <w:top w:w="50" w:type="dxa"/>
              <w:left w:w="70" w:type="dxa"/>
              <w:bottom w:w="50" w:type="dxa"/>
              <w:right w:w="70" w:type="dxa"/>
            </w:tcMar>
            <w:vAlign w:val="center"/>
          </w:tcPr>
          <w:p w14:paraId="0D02FAE8">
            <w:pPr>
              <w:pStyle w:val="style0"/>
              <w:spacing w:lineRule="auto" w:line="240"/>
              <w:jc w:val="center"/>
              <w:rPr/>
            </w:pPr>
            <w:r>
              <w:rPr>
                <w:rFonts w:ascii="Arial" w:cs="Arial" w:eastAsia="Arial" w:hAnsi="Arial"/>
                <w:b/>
                <w:bCs/>
                <w:sz w:val="19"/>
                <w:szCs w:val="19"/>
              </w:rPr>
              <w:t>Generación RSU (m³/año)</w:t>
            </w:r>
          </w:p>
        </w:tc>
        <w:tc>
          <w:tcPr>
            <w:tcW w:w="1800" w:type="dxa"/>
            <w:tcBorders/>
            <w:shd w:val="clear" w:color="auto" w:fill="d9e2d0"/>
            <w:tcMar>
              <w:top w:w="50" w:type="dxa"/>
              <w:left w:w="70" w:type="dxa"/>
              <w:bottom w:w="50" w:type="dxa"/>
              <w:right w:w="70" w:type="dxa"/>
            </w:tcMar>
            <w:vAlign w:val="center"/>
          </w:tcPr>
          <w:p w14:paraId="F9E40E39">
            <w:pPr>
              <w:pStyle w:val="style0"/>
              <w:spacing w:lineRule="auto" w:line="240"/>
              <w:jc w:val="center"/>
              <w:rPr/>
            </w:pPr>
            <w:r>
              <w:rPr>
                <w:rFonts w:ascii="Arial" w:cs="Arial" w:eastAsia="Arial" w:hAnsi="Arial"/>
                <w:b/>
                <w:bCs/>
                <w:sz w:val="19"/>
                <w:szCs w:val="19"/>
              </w:rPr>
              <w:t>Quejas</w:t>
            </w:r>
          </w:p>
        </w:tc>
      </w:tr>
      <w:tr w14:paraId="6A0566FD">
        <w:tblPrEx/>
        <w:trPr/>
        <w:tc>
          <w:tcPr>
            <w:tcW w:w="2850" w:type="dxa"/>
            <w:tcBorders/>
            <w:tcMar>
              <w:top w:w="50" w:type="dxa"/>
              <w:left w:w="70" w:type="dxa"/>
              <w:bottom w:w="50" w:type="dxa"/>
              <w:right w:w="70" w:type="dxa"/>
            </w:tcMar>
            <w:vAlign w:val="center"/>
          </w:tcPr>
          <w:p w14:paraId="504CE847">
            <w:pPr>
              <w:pStyle w:val="style0"/>
              <w:spacing w:lineRule="auto" w:line="240"/>
              <w:jc w:val="left"/>
              <w:rPr/>
            </w:pPr>
            <w:r>
              <w:rPr>
                <w:rFonts w:ascii="Arial" w:cs="Arial" w:eastAsia="Arial" w:hAnsi="Arial"/>
                <w:b w:val="false"/>
                <w:bCs w:val="false"/>
                <w:sz w:val="19"/>
                <w:szCs w:val="19"/>
              </w:rPr>
              <w:t>Junco Sur</w:t>
            </w:r>
          </w:p>
        </w:tc>
        <w:tc>
          <w:tcPr>
            <w:tcW w:w="2200" w:type="dxa"/>
            <w:tcBorders/>
            <w:tcMar>
              <w:top w:w="50" w:type="dxa"/>
              <w:left w:w="70" w:type="dxa"/>
              <w:bottom w:w="50" w:type="dxa"/>
              <w:right w:w="70" w:type="dxa"/>
            </w:tcMar>
            <w:vAlign w:val="center"/>
          </w:tcPr>
          <w:p w14:paraId="11617E49">
            <w:pPr>
              <w:pStyle w:val="style0"/>
              <w:spacing w:lineRule="auto" w:line="240"/>
              <w:jc w:val="center"/>
              <w:rPr/>
            </w:pPr>
            <w:r>
              <w:rPr>
                <w:rFonts w:ascii="Arial" w:cs="Arial" w:eastAsia="Arial" w:hAnsi="Arial"/>
                <w:b w:val="false"/>
                <w:bCs w:val="false"/>
                <w:sz w:val="19"/>
                <w:szCs w:val="19"/>
              </w:rPr>
              <w:t>12 782</w:t>
            </w:r>
          </w:p>
        </w:tc>
        <w:tc>
          <w:tcPr>
            <w:tcW w:w="2500" w:type="dxa"/>
            <w:tcBorders/>
            <w:tcMar>
              <w:top w:w="50" w:type="dxa"/>
              <w:left w:w="70" w:type="dxa"/>
              <w:bottom w:w="50" w:type="dxa"/>
              <w:right w:w="70" w:type="dxa"/>
            </w:tcMar>
            <w:vAlign w:val="center"/>
          </w:tcPr>
          <w:p w14:paraId="FC789579">
            <w:pPr>
              <w:pStyle w:val="style0"/>
              <w:spacing w:lineRule="auto" w:line="240"/>
              <w:jc w:val="center"/>
              <w:rPr/>
            </w:pPr>
            <w:r>
              <w:rPr>
                <w:rFonts w:ascii="Arial" w:cs="Arial" w:eastAsia="Arial" w:hAnsi="Arial"/>
                <w:b w:val="false"/>
                <w:bCs w:val="false"/>
                <w:sz w:val="19"/>
                <w:szCs w:val="19"/>
              </w:rPr>
              <w:t>21 729,4</w:t>
            </w:r>
          </w:p>
        </w:tc>
        <w:tc>
          <w:tcPr>
            <w:tcW w:w="1800" w:type="dxa"/>
            <w:tcBorders/>
            <w:tcMar>
              <w:top w:w="50" w:type="dxa"/>
              <w:left w:w="70" w:type="dxa"/>
              <w:bottom w:w="50" w:type="dxa"/>
              <w:right w:w="70" w:type="dxa"/>
            </w:tcMar>
            <w:vAlign w:val="center"/>
          </w:tcPr>
          <w:p w14:paraId="538D02C4">
            <w:pPr>
              <w:pStyle w:val="style0"/>
              <w:spacing w:lineRule="auto" w:line="240"/>
              <w:jc w:val="center"/>
              <w:rPr/>
            </w:pPr>
            <w:r>
              <w:rPr>
                <w:rFonts w:ascii="Arial" w:cs="Arial" w:eastAsia="Arial" w:hAnsi="Arial"/>
                <w:b w:val="false"/>
                <w:bCs w:val="false"/>
                <w:sz w:val="19"/>
                <w:szCs w:val="19"/>
              </w:rPr>
              <w:t>27</w:t>
            </w:r>
          </w:p>
        </w:tc>
      </w:tr>
      <w:tr w14:paraId="3A2FC714">
        <w:tblPrEx/>
        <w:trPr/>
        <w:tc>
          <w:tcPr>
            <w:tcW w:w="2850" w:type="dxa"/>
            <w:tcBorders/>
            <w:tcMar>
              <w:top w:w="50" w:type="dxa"/>
              <w:left w:w="70" w:type="dxa"/>
              <w:bottom w:w="50" w:type="dxa"/>
              <w:right w:w="70" w:type="dxa"/>
            </w:tcMar>
            <w:vAlign w:val="center"/>
          </w:tcPr>
          <w:p w14:paraId="E39A9595">
            <w:pPr>
              <w:pStyle w:val="style0"/>
              <w:spacing w:lineRule="auto" w:line="240"/>
              <w:jc w:val="left"/>
              <w:rPr/>
            </w:pPr>
            <w:r>
              <w:rPr>
                <w:rFonts w:ascii="Arial" w:cs="Arial" w:eastAsia="Arial" w:hAnsi="Arial"/>
                <w:b w:val="false"/>
                <w:bCs w:val="false"/>
                <w:sz w:val="19"/>
                <w:szCs w:val="19"/>
              </w:rPr>
              <w:t>Buena Vista</w:t>
            </w:r>
          </w:p>
        </w:tc>
        <w:tc>
          <w:tcPr>
            <w:tcW w:w="2200" w:type="dxa"/>
            <w:tcBorders/>
            <w:tcMar>
              <w:top w:w="50" w:type="dxa"/>
              <w:left w:w="70" w:type="dxa"/>
              <w:bottom w:w="50" w:type="dxa"/>
              <w:right w:w="70" w:type="dxa"/>
            </w:tcMar>
            <w:vAlign w:val="center"/>
          </w:tcPr>
          <w:p w14:paraId="49D3B5A7">
            <w:pPr>
              <w:pStyle w:val="style0"/>
              <w:spacing w:lineRule="auto" w:line="240"/>
              <w:jc w:val="center"/>
              <w:rPr/>
            </w:pPr>
            <w:r>
              <w:rPr>
                <w:rFonts w:ascii="Arial" w:cs="Arial" w:eastAsia="Arial" w:hAnsi="Arial"/>
                <w:b w:val="false"/>
                <w:bCs w:val="false"/>
                <w:sz w:val="19"/>
                <w:szCs w:val="19"/>
              </w:rPr>
              <w:t>10 589</w:t>
            </w:r>
          </w:p>
        </w:tc>
        <w:tc>
          <w:tcPr>
            <w:tcW w:w="2500" w:type="dxa"/>
            <w:tcBorders/>
            <w:tcMar>
              <w:top w:w="50" w:type="dxa"/>
              <w:left w:w="70" w:type="dxa"/>
              <w:bottom w:w="50" w:type="dxa"/>
              <w:right w:w="70" w:type="dxa"/>
            </w:tcMar>
            <w:vAlign w:val="center"/>
          </w:tcPr>
          <w:p w14:paraId="AEAE876A">
            <w:pPr>
              <w:pStyle w:val="style0"/>
              <w:spacing w:lineRule="auto" w:line="240"/>
              <w:jc w:val="center"/>
              <w:rPr/>
            </w:pPr>
            <w:r>
              <w:rPr>
                <w:rFonts w:ascii="Arial" w:cs="Arial" w:eastAsia="Arial" w:hAnsi="Arial"/>
                <w:b w:val="false"/>
                <w:bCs w:val="false"/>
                <w:sz w:val="19"/>
                <w:szCs w:val="19"/>
              </w:rPr>
              <w:t>18 001,3</w:t>
            </w:r>
          </w:p>
        </w:tc>
        <w:tc>
          <w:tcPr>
            <w:tcW w:w="1800" w:type="dxa"/>
            <w:tcBorders/>
            <w:tcMar>
              <w:top w:w="50" w:type="dxa"/>
              <w:left w:w="70" w:type="dxa"/>
              <w:bottom w:w="50" w:type="dxa"/>
              <w:right w:w="70" w:type="dxa"/>
            </w:tcMar>
            <w:vAlign w:val="center"/>
          </w:tcPr>
          <w:p w14:paraId="E0F2BD11">
            <w:pPr>
              <w:pStyle w:val="style0"/>
              <w:spacing w:lineRule="auto" w:line="240"/>
              <w:jc w:val="center"/>
              <w:rPr/>
            </w:pPr>
            <w:r>
              <w:rPr>
                <w:rFonts w:ascii="Arial" w:cs="Arial" w:eastAsia="Arial" w:hAnsi="Arial"/>
                <w:b w:val="false"/>
                <w:bCs w:val="false"/>
                <w:sz w:val="19"/>
                <w:szCs w:val="19"/>
              </w:rPr>
              <w:t>42</w:t>
            </w:r>
          </w:p>
        </w:tc>
      </w:tr>
      <w:tr w14:paraId="769ED18C">
        <w:tblPrEx/>
        <w:trPr/>
        <w:tc>
          <w:tcPr>
            <w:tcW w:w="2850" w:type="dxa"/>
            <w:tcBorders/>
            <w:tcMar>
              <w:top w:w="50" w:type="dxa"/>
              <w:left w:w="70" w:type="dxa"/>
              <w:bottom w:w="50" w:type="dxa"/>
              <w:right w:w="70" w:type="dxa"/>
            </w:tcMar>
            <w:vAlign w:val="center"/>
          </w:tcPr>
          <w:p w14:paraId="308BCD74">
            <w:pPr>
              <w:pStyle w:val="style0"/>
              <w:spacing w:lineRule="auto" w:line="240"/>
              <w:jc w:val="left"/>
              <w:rPr/>
            </w:pPr>
            <w:r>
              <w:rPr>
                <w:rFonts w:ascii="Arial" w:cs="Arial" w:eastAsia="Arial" w:hAnsi="Arial"/>
                <w:b w:val="false"/>
                <w:bCs w:val="false"/>
                <w:sz w:val="19"/>
                <w:szCs w:val="19"/>
              </w:rPr>
              <w:t>Pueblo Griffo</w:t>
            </w:r>
          </w:p>
        </w:tc>
        <w:tc>
          <w:tcPr>
            <w:tcW w:w="2200" w:type="dxa"/>
            <w:tcBorders/>
            <w:tcMar>
              <w:top w:w="50" w:type="dxa"/>
              <w:left w:w="70" w:type="dxa"/>
              <w:bottom w:w="50" w:type="dxa"/>
              <w:right w:w="70" w:type="dxa"/>
            </w:tcMar>
            <w:vAlign w:val="center"/>
          </w:tcPr>
          <w:p w14:paraId="5C861846">
            <w:pPr>
              <w:pStyle w:val="style0"/>
              <w:spacing w:lineRule="auto" w:line="240"/>
              <w:jc w:val="center"/>
              <w:rPr/>
            </w:pPr>
            <w:r>
              <w:rPr>
                <w:rFonts w:ascii="Arial" w:cs="Arial" w:eastAsia="Arial" w:hAnsi="Arial"/>
                <w:b w:val="false"/>
                <w:bCs w:val="false"/>
                <w:sz w:val="19"/>
                <w:szCs w:val="19"/>
              </w:rPr>
              <w:t>11 482</w:t>
            </w:r>
          </w:p>
        </w:tc>
        <w:tc>
          <w:tcPr>
            <w:tcW w:w="2500" w:type="dxa"/>
            <w:tcBorders/>
            <w:tcMar>
              <w:top w:w="50" w:type="dxa"/>
              <w:left w:w="70" w:type="dxa"/>
              <w:bottom w:w="50" w:type="dxa"/>
              <w:right w:w="70" w:type="dxa"/>
            </w:tcMar>
            <w:vAlign w:val="center"/>
          </w:tcPr>
          <w:p w14:paraId="EE77DAD7">
            <w:pPr>
              <w:pStyle w:val="style0"/>
              <w:spacing w:lineRule="auto" w:line="240"/>
              <w:jc w:val="center"/>
              <w:rPr/>
            </w:pPr>
            <w:r>
              <w:rPr>
                <w:rFonts w:ascii="Arial" w:cs="Arial" w:eastAsia="Arial" w:hAnsi="Arial"/>
                <w:b w:val="false"/>
                <w:bCs w:val="false"/>
                <w:sz w:val="19"/>
                <w:szCs w:val="19"/>
              </w:rPr>
              <w:t>19 519,4</w:t>
            </w:r>
          </w:p>
        </w:tc>
        <w:tc>
          <w:tcPr>
            <w:tcW w:w="1800" w:type="dxa"/>
            <w:tcBorders/>
            <w:tcMar>
              <w:top w:w="50" w:type="dxa"/>
              <w:left w:w="70" w:type="dxa"/>
              <w:bottom w:w="50" w:type="dxa"/>
              <w:right w:w="70" w:type="dxa"/>
            </w:tcMar>
            <w:vAlign w:val="center"/>
          </w:tcPr>
          <w:p w14:paraId="A60BABF7">
            <w:pPr>
              <w:pStyle w:val="style0"/>
              <w:spacing w:lineRule="auto" w:line="240"/>
              <w:jc w:val="center"/>
              <w:rPr/>
            </w:pPr>
            <w:r>
              <w:rPr>
                <w:rFonts w:ascii="Arial" w:cs="Arial" w:eastAsia="Arial" w:hAnsi="Arial"/>
                <w:b w:val="false"/>
                <w:bCs w:val="false"/>
                <w:sz w:val="19"/>
                <w:szCs w:val="19"/>
              </w:rPr>
              <w:t>34</w:t>
            </w:r>
          </w:p>
        </w:tc>
      </w:tr>
    </w:tbl>
    <w:p w14:paraId="FC81C88C">
      <w:pPr>
        <w:pStyle w:val="style4098"/>
        <w:spacing w:before="180" w:after="100" w:lineRule="auto" w:line="240"/>
        <w:jc w:val="left"/>
        <w:rPr/>
      </w:pPr>
      <w:r>
        <w:rPr>
          <w:rFonts w:ascii="Arial" w:cs="Arial" w:eastAsia="Arial" w:hAnsi="Arial"/>
          <w:b/>
          <w:bCs/>
          <w:color w:val="1f4e2c"/>
          <w:sz w:val="27"/>
          <w:szCs w:val="27"/>
        </w:rPr>
        <w:t>5. Aplicación del método y resultados</w:t>
      </w:r>
    </w:p>
    <w:p w14:paraId="0A72E924">
      <w:pPr>
        <w:pStyle w:val="style0"/>
        <w:spacing w:before="0" w:after="140" w:lineRule="auto" w:line="240"/>
        <w:jc w:val="both"/>
        <w:rPr/>
      </w:pPr>
      <w:r>
        <w:rPr>
          <w:rFonts w:ascii="Arial" w:cs="Arial" w:eastAsia="Arial" w:hAnsi="Arial"/>
          <w:b w:val="false"/>
          <w:bCs w:val="false"/>
          <w:i w:val="false"/>
          <w:iCs w:val="false"/>
          <w:sz w:val="24"/>
          <w:szCs w:val="24"/>
        </w:rPr>
        <w:t>Se realizó el microruteo de cada CP seleccionado: se construyó el grafo de calles, se midieron las distancias entre nodos con Google Maps y se resolvió el Problema del Cartero Chino para obtener el circuito de menor distancia que cubre todos los arcos. Las nuevas rutas se compararon con el recorrido actual en términos de distancia y consumo de combustible (4 km/litro). La Figura 1 resume la distancia de cada ruta propuesta y el ahorro diario de combustible obtenido por Consejo Popular, y la Tabla 3 añade el beneficio económico anual estimado.</w:t>
      </w:r>
    </w:p>
    <w:p w14:paraId="1DF7C144">
      <w:pPr>
        <w:pStyle w:val="style0"/>
        <w:spacing w:after="60" w:lineRule="auto" w:line="240"/>
        <w:jc w:val="center"/>
        <w:rPr/>
      </w:pPr>
      <w:r>
        <w:rPr/>
        <w:drawing>
          <wp:inline distL="0" distT="0" distB="0" distR="0">
            <wp:extent cx="4476750" cy="1666875"/>
            <wp:effectExtent l="0" t="0" r="0" b="0"/>
            <wp:docPr id="1026" name="" descr=""/>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srcRect l="0" t="0" r="0" b="0"/>
                    <a:stretch/>
                  </pic:blipFill>
                  <pic:spPr>
                    <a:xfrm rot="0">
                      <a:off x="0" y="0"/>
                      <a:ext cx="4476750" cy="1666875"/>
                    </a:xfrm>
                    <a:prstGeom prst="rect"/>
                  </pic:spPr>
                </pic:pic>
              </a:graphicData>
            </a:graphic>
          </wp:inline>
        </w:drawing>
      </w:r>
    </w:p>
    <w:p w14:paraId="FBD73594">
      <w:pPr>
        <w:pStyle w:val="style0"/>
        <w:spacing w:before="40" w:after="140" w:lineRule="auto" w:line="240"/>
        <w:jc w:val="center"/>
        <w:rPr/>
      </w:pPr>
      <w:r>
        <w:rPr>
          <w:rFonts w:ascii="Arial" w:cs="Arial" w:eastAsia="Arial" w:hAnsi="Arial"/>
          <w:i/>
          <w:iCs/>
          <w:sz w:val="18"/>
          <w:szCs w:val="18"/>
        </w:rPr>
        <w:t>Figura 1. Distancia y ahorro de combustible de las rutas propuestas. Fuente: elaboración propia.</w:t>
      </w:r>
    </w:p>
    <w:p w14:paraId="F19A5486">
      <w:pPr>
        <w:pStyle w:val="style0"/>
        <w:spacing w:before="40" w:after="140" w:lineRule="auto" w:line="240"/>
        <w:jc w:val="center"/>
        <w:rPr/>
      </w:pPr>
      <w:r>
        <w:rPr>
          <w:rFonts w:ascii="Arial" w:cs="Arial" w:eastAsia="Arial" w:hAnsi="Arial"/>
          <w:i/>
          <w:iCs/>
          <w:sz w:val="18"/>
          <w:szCs w:val="18"/>
        </w:rPr>
        <w:t>Tabla 3. Resultados de las rutas propuestas por Consejo Popular. Fuente: elaboración propia.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350"/>
        <w:gridCol w:w="2000"/>
        <w:gridCol w:w="2500"/>
        <w:gridCol w:w="2500"/>
      </w:tblGrid>
      <w:tr w14:paraId="E0918206">
        <w:trPr/>
        <w:tc>
          <w:tcPr>
            <w:tcW w:w="2350" w:type="dxa"/>
            <w:tcBorders/>
            <w:shd w:val="clear" w:color="auto" w:fill="d9e2d0"/>
            <w:tcMar>
              <w:top w:w="50" w:type="dxa"/>
              <w:left w:w="70" w:type="dxa"/>
              <w:bottom w:w="50" w:type="dxa"/>
              <w:right w:w="70" w:type="dxa"/>
            </w:tcMar>
            <w:vAlign w:val="center"/>
          </w:tcPr>
          <w:p w14:paraId="7C5C0DA9">
            <w:pPr>
              <w:pStyle w:val="style0"/>
              <w:spacing w:lineRule="auto" w:line="240"/>
              <w:jc w:val="left"/>
              <w:rPr/>
            </w:pPr>
            <w:r>
              <w:rPr>
                <w:rFonts w:ascii="Arial" w:cs="Arial" w:eastAsia="Arial" w:hAnsi="Arial"/>
                <w:b/>
                <w:bCs/>
                <w:sz w:val="19"/>
                <w:szCs w:val="19"/>
              </w:rPr>
              <w:t>Consejo Popular</w:t>
            </w:r>
          </w:p>
        </w:tc>
        <w:tc>
          <w:tcPr>
            <w:tcW w:w="2000" w:type="dxa"/>
            <w:tcBorders/>
            <w:shd w:val="clear" w:color="auto" w:fill="d9e2d0"/>
            <w:tcMar>
              <w:top w:w="50" w:type="dxa"/>
              <w:left w:w="70" w:type="dxa"/>
              <w:bottom w:w="50" w:type="dxa"/>
              <w:right w:w="70" w:type="dxa"/>
            </w:tcMar>
            <w:vAlign w:val="center"/>
          </w:tcPr>
          <w:p w14:paraId="9B4A71CF">
            <w:pPr>
              <w:pStyle w:val="style0"/>
              <w:spacing w:lineRule="auto" w:line="240"/>
              <w:jc w:val="center"/>
              <w:rPr/>
            </w:pPr>
            <w:r>
              <w:rPr>
                <w:rFonts w:ascii="Arial" w:cs="Arial" w:eastAsia="Arial" w:hAnsi="Arial"/>
                <w:b/>
                <w:bCs/>
                <w:sz w:val="19"/>
                <w:szCs w:val="19"/>
              </w:rPr>
              <w:t>Ruta propuesta (km)</w:t>
            </w:r>
          </w:p>
        </w:tc>
        <w:tc>
          <w:tcPr>
            <w:tcW w:w="2500" w:type="dxa"/>
            <w:tcBorders/>
            <w:shd w:val="clear" w:color="auto" w:fill="d9e2d0"/>
            <w:tcMar>
              <w:top w:w="50" w:type="dxa"/>
              <w:left w:w="70" w:type="dxa"/>
              <w:bottom w:w="50" w:type="dxa"/>
              <w:right w:w="70" w:type="dxa"/>
            </w:tcMar>
            <w:vAlign w:val="center"/>
          </w:tcPr>
          <w:p w14:paraId="A9B6AC39">
            <w:pPr>
              <w:pStyle w:val="style0"/>
              <w:spacing w:lineRule="auto" w:line="240"/>
              <w:jc w:val="center"/>
              <w:rPr/>
            </w:pPr>
            <w:r>
              <w:rPr>
                <w:rFonts w:ascii="Arial" w:cs="Arial" w:eastAsia="Arial" w:hAnsi="Arial"/>
                <w:b/>
                <w:bCs/>
                <w:sz w:val="19"/>
                <w:szCs w:val="19"/>
              </w:rPr>
              <w:t>Ahorro de combustible (L/día)</w:t>
            </w:r>
          </w:p>
        </w:tc>
        <w:tc>
          <w:tcPr>
            <w:tcW w:w="2500" w:type="dxa"/>
            <w:tcBorders/>
            <w:shd w:val="clear" w:color="auto" w:fill="d9e2d0"/>
            <w:tcMar>
              <w:top w:w="50" w:type="dxa"/>
              <w:left w:w="70" w:type="dxa"/>
              <w:bottom w:w="50" w:type="dxa"/>
              <w:right w:w="70" w:type="dxa"/>
            </w:tcMar>
            <w:vAlign w:val="center"/>
          </w:tcPr>
          <w:p w14:paraId="9D9DE135">
            <w:pPr>
              <w:pStyle w:val="style0"/>
              <w:spacing w:lineRule="auto" w:line="240"/>
              <w:jc w:val="center"/>
              <w:rPr/>
            </w:pPr>
            <w:r>
              <w:rPr>
                <w:rFonts w:ascii="Arial" w:cs="Arial" w:eastAsia="Arial" w:hAnsi="Arial"/>
                <w:b/>
                <w:bCs/>
                <w:sz w:val="19"/>
                <w:szCs w:val="19"/>
              </w:rPr>
              <w:t>Ahorro anual (CUP)</w:t>
            </w:r>
          </w:p>
        </w:tc>
      </w:tr>
      <w:tr w14:paraId="40459BF0">
        <w:tblPrEx/>
        <w:trPr/>
        <w:tc>
          <w:tcPr>
            <w:tcW w:w="2350" w:type="dxa"/>
            <w:tcBorders/>
            <w:tcMar>
              <w:top w:w="50" w:type="dxa"/>
              <w:left w:w="70" w:type="dxa"/>
              <w:bottom w:w="50" w:type="dxa"/>
              <w:right w:w="70" w:type="dxa"/>
            </w:tcMar>
            <w:vAlign w:val="center"/>
          </w:tcPr>
          <w:p w14:paraId="AFAE5B6D">
            <w:pPr>
              <w:pStyle w:val="style0"/>
              <w:spacing w:lineRule="auto" w:line="240"/>
              <w:jc w:val="left"/>
              <w:rPr/>
            </w:pPr>
            <w:r>
              <w:rPr>
                <w:rFonts w:ascii="Arial" w:cs="Arial" w:eastAsia="Arial" w:hAnsi="Arial"/>
                <w:b w:val="false"/>
                <w:bCs w:val="false"/>
                <w:sz w:val="19"/>
                <w:szCs w:val="19"/>
              </w:rPr>
              <w:t>Junco Sur</w:t>
            </w:r>
          </w:p>
        </w:tc>
        <w:tc>
          <w:tcPr>
            <w:tcW w:w="2000" w:type="dxa"/>
            <w:tcBorders/>
            <w:tcMar>
              <w:top w:w="50" w:type="dxa"/>
              <w:left w:w="70" w:type="dxa"/>
              <w:bottom w:w="50" w:type="dxa"/>
              <w:right w:w="70" w:type="dxa"/>
            </w:tcMar>
            <w:vAlign w:val="center"/>
          </w:tcPr>
          <w:p w14:paraId="69A4013E">
            <w:pPr>
              <w:pStyle w:val="style0"/>
              <w:spacing w:lineRule="auto" w:line="240"/>
              <w:jc w:val="center"/>
              <w:rPr/>
            </w:pPr>
            <w:r>
              <w:rPr>
                <w:rFonts w:ascii="Arial" w:cs="Arial" w:eastAsia="Arial" w:hAnsi="Arial"/>
                <w:b w:val="false"/>
                <w:bCs w:val="false"/>
                <w:sz w:val="19"/>
                <w:szCs w:val="19"/>
              </w:rPr>
              <w:t>4,67</w:t>
            </w:r>
          </w:p>
        </w:tc>
        <w:tc>
          <w:tcPr>
            <w:tcW w:w="2500" w:type="dxa"/>
            <w:tcBorders/>
            <w:tcMar>
              <w:top w:w="50" w:type="dxa"/>
              <w:left w:w="70" w:type="dxa"/>
              <w:bottom w:w="50" w:type="dxa"/>
              <w:right w:w="70" w:type="dxa"/>
            </w:tcMar>
            <w:vAlign w:val="center"/>
          </w:tcPr>
          <w:p w14:paraId="C2687FEB">
            <w:pPr>
              <w:pStyle w:val="style0"/>
              <w:spacing w:lineRule="auto" w:line="240"/>
              <w:jc w:val="center"/>
              <w:rPr/>
            </w:pPr>
            <w:r>
              <w:rPr>
                <w:rFonts w:ascii="Arial" w:cs="Arial" w:eastAsia="Arial" w:hAnsi="Arial"/>
                <w:b w:val="false"/>
                <w:bCs w:val="false"/>
                <w:sz w:val="19"/>
                <w:szCs w:val="19"/>
              </w:rPr>
              <w:t>37,37</w:t>
            </w:r>
          </w:p>
        </w:tc>
        <w:tc>
          <w:tcPr>
            <w:tcW w:w="2500" w:type="dxa"/>
            <w:tcBorders/>
            <w:tcMar>
              <w:top w:w="50" w:type="dxa"/>
              <w:left w:w="70" w:type="dxa"/>
              <w:bottom w:w="50" w:type="dxa"/>
              <w:right w:w="70" w:type="dxa"/>
            </w:tcMar>
            <w:vAlign w:val="center"/>
          </w:tcPr>
          <w:p w14:paraId="DAFF3D57">
            <w:pPr>
              <w:pStyle w:val="style0"/>
              <w:spacing w:lineRule="auto" w:line="240"/>
              <w:jc w:val="center"/>
              <w:rPr/>
            </w:pPr>
            <w:r>
              <w:rPr>
                <w:rFonts w:ascii="Arial" w:cs="Arial" w:eastAsia="Arial" w:hAnsi="Arial"/>
                <w:b w:val="false"/>
                <w:bCs w:val="false"/>
                <w:sz w:val="19"/>
                <w:szCs w:val="19"/>
              </w:rPr>
              <w:t>313 908</w:t>
            </w:r>
          </w:p>
        </w:tc>
      </w:tr>
      <w:tr w14:paraId="BCAAC852">
        <w:tblPrEx/>
        <w:trPr/>
        <w:tc>
          <w:tcPr>
            <w:tcW w:w="2350" w:type="dxa"/>
            <w:tcBorders/>
            <w:tcMar>
              <w:top w:w="50" w:type="dxa"/>
              <w:left w:w="70" w:type="dxa"/>
              <w:bottom w:w="50" w:type="dxa"/>
              <w:right w:w="70" w:type="dxa"/>
            </w:tcMar>
            <w:vAlign w:val="center"/>
          </w:tcPr>
          <w:p w14:paraId="59DB2280">
            <w:pPr>
              <w:pStyle w:val="style0"/>
              <w:spacing w:lineRule="auto" w:line="240"/>
              <w:jc w:val="left"/>
              <w:rPr/>
            </w:pPr>
            <w:r>
              <w:rPr>
                <w:rFonts w:ascii="Arial" w:cs="Arial" w:eastAsia="Arial" w:hAnsi="Arial"/>
                <w:b w:val="false"/>
                <w:bCs w:val="false"/>
                <w:sz w:val="19"/>
                <w:szCs w:val="19"/>
              </w:rPr>
              <w:t>Buena Vista</w:t>
            </w:r>
          </w:p>
        </w:tc>
        <w:tc>
          <w:tcPr>
            <w:tcW w:w="2000" w:type="dxa"/>
            <w:tcBorders/>
            <w:tcMar>
              <w:top w:w="50" w:type="dxa"/>
              <w:left w:w="70" w:type="dxa"/>
              <w:bottom w:w="50" w:type="dxa"/>
              <w:right w:w="70" w:type="dxa"/>
            </w:tcMar>
            <w:vAlign w:val="center"/>
          </w:tcPr>
          <w:p w14:paraId="9DD103DA">
            <w:pPr>
              <w:pStyle w:val="style0"/>
              <w:spacing w:lineRule="auto" w:line="240"/>
              <w:jc w:val="center"/>
              <w:rPr/>
            </w:pPr>
            <w:r>
              <w:rPr>
                <w:rFonts w:ascii="Arial" w:cs="Arial" w:eastAsia="Arial" w:hAnsi="Arial"/>
                <w:b w:val="false"/>
                <w:bCs w:val="false"/>
                <w:sz w:val="19"/>
                <w:szCs w:val="19"/>
              </w:rPr>
              <w:t>11,996</w:t>
            </w:r>
          </w:p>
        </w:tc>
        <w:tc>
          <w:tcPr>
            <w:tcW w:w="2500" w:type="dxa"/>
            <w:tcBorders/>
            <w:tcMar>
              <w:top w:w="50" w:type="dxa"/>
              <w:left w:w="70" w:type="dxa"/>
              <w:bottom w:w="50" w:type="dxa"/>
              <w:right w:w="70" w:type="dxa"/>
            </w:tcMar>
            <w:vAlign w:val="center"/>
          </w:tcPr>
          <w:p w14:paraId="2C90EF55">
            <w:pPr>
              <w:pStyle w:val="style0"/>
              <w:spacing w:lineRule="auto" w:line="240"/>
              <w:jc w:val="center"/>
              <w:rPr/>
            </w:pPr>
            <w:r>
              <w:rPr>
                <w:rFonts w:ascii="Arial" w:cs="Arial" w:eastAsia="Arial" w:hAnsi="Arial"/>
                <w:b w:val="false"/>
                <w:bCs w:val="false"/>
                <w:sz w:val="19"/>
                <w:szCs w:val="19"/>
              </w:rPr>
              <w:t>19,47</w:t>
            </w:r>
          </w:p>
        </w:tc>
        <w:tc>
          <w:tcPr>
            <w:tcW w:w="2500" w:type="dxa"/>
            <w:tcBorders/>
            <w:tcMar>
              <w:top w:w="50" w:type="dxa"/>
              <w:left w:w="70" w:type="dxa"/>
              <w:bottom w:w="50" w:type="dxa"/>
              <w:right w:w="70" w:type="dxa"/>
            </w:tcMar>
            <w:vAlign w:val="center"/>
          </w:tcPr>
          <w:p w14:paraId="4B57A823">
            <w:pPr>
              <w:pStyle w:val="style0"/>
              <w:spacing w:lineRule="auto" w:line="240"/>
              <w:jc w:val="center"/>
              <w:rPr/>
            </w:pPr>
            <w:r>
              <w:rPr>
                <w:rFonts w:ascii="Arial" w:cs="Arial" w:eastAsia="Arial" w:hAnsi="Arial"/>
                <w:b w:val="false"/>
                <w:bCs w:val="false"/>
                <w:sz w:val="19"/>
                <w:szCs w:val="19"/>
              </w:rPr>
              <w:t>163 380</w:t>
            </w:r>
          </w:p>
        </w:tc>
      </w:tr>
      <w:tr w14:paraId="EF176B5C">
        <w:tblPrEx/>
        <w:trPr/>
        <w:tc>
          <w:tcPr>
            <w:tcW w:w="2350" w:type="dxa"/>
            <w:tcBorders/>
            <w:tcMar>
              <w:top w:w="50" w:type="dxa"/>
              <w:left w:w="70" w:type="dxa"/>
              <w:bottom w:w="50" w:type="dxa"/>
              <w:right w:w="70" w:type="dxa"/>
            </w:tcMar>
            <w:vAlign w:val="center"/>
          </w:tcPr>
          <w:p w14:paraId="880981CE">
            <w:pPr>
              <w:pStyle w:val="style0"/>
              <w:spacing w:lineRule="auto" w:line="240"/>
              <w:jc w:val="left"/>
              <w:rPr/>
            </w:pPr>
            <w:r>
              <w:rPr>
                <w:rFonts w:ascii="Arial" w:cs="Arial" w:eastAsia="Arial" w:hAnsi="Arial"/>
                <w:b w:val="false"/>
                <w:bCs w:val="false"/>
                <w:sz w:val="19"/>
                <w:szCs w:val="19"/>
              </w:rPr>
              <w:t>Pueblo Griffo</w:t>
            </w:r>
          </w:p>
        </w:tc>
        <w:tc>
          <w:tcPr>
            <w:tcW w:w="2000" w:type="dxa"/>
            <w:tcBorders/>
            <w:tcMar>
              <w:top w:w="50" w:type="dxa"/>
              <w:left w:w="70" w:type="dxa"/>
              <w:bottom w:w="50" w:type="dxa"/>
              <w:right w:w="70" w:type="dxa"/>
            </w:tcMar>
            <w:vAlign w:val="center"/>
          </w:tcPr>
          <w:p w14:paraId="E162A2CA">
            <w:pPr>
              <w:pStyle w:val="style0"/>
              <w:spacing w:lineRule="auto" w:line="240"/>
              <w:jc w:val="center"/>
              <w:rPr/>
            </w:pPr>
            <w:r>
              <w:rPr>
                <w:rFonts w:ascii="Arial" w:cs="Arial" w:eastAsia="Arial" w:hAnsi="Arial"/>
                <w:b w:val="false"/>
                <w:bCs w:val="false"/>
                <w:sz w:val="19"/>
                <w:szCs w:val="19"/>
              </w:rPr>
              <w:t>11,277</w:t>
            </w:r>
          </w:p>
        </w:tc>
        <w:tc>
          <w:tcPr>
            <w:tcW w:w="2500" w:type="dxa"/>
            <w:tcBorders/>
            <w:tcMar>
              <w:top w:w="50" w:type="dxa"/>
              <w:left w:w="70" w:type="dxa"/>
              <w:bottom w:w="50" w:type="dxa"/>
              <w:right w:w="70" w:type="dxa"/>
            </w:tcMar>
            <w:vAlign w:val="center"/>
          </w:tcPr>
          <w:p w14:paraId="23E995A7">
            <w:pPr>
              <w:pStyle w:val="style0"/>
              <w:spacing w:lineRule="auto" w:line="240"/>
              <w:jc w:val="center"/>
              <w:rPr/>
            </w:pPr>
            <w:r>
              <w:rPr>
                <w:rFonts w:ascii="Arial" w:cs="Arial" w:eastAsia="Arial" w:hAnsi="Arial"/>
                <w:b w:val="false"/>
                <w:bCs w:val="false"/>
                <w:sz w:val="19"/>
                <w:szCs w:val="19"/>
              </w:rPr>
              <w:t>15,43</w:t>
            </w:r>
          </w:p>
        </w:tc>
        <w:tc>
          <w:tcPr>
            <w:tcW w:w="2500" w:type="dxa"/>
            <w:tcBorders/>
            <w:tcMar>
              <w:top w:w="50" w:type="dxa"/>
              <w:left w:w="70" w:type="dxa"/>
              <w:bottom w:w="50" w:type="dxa"/>
              <w:right w:w="70" w:type="dxa"/>
            </w:tcMar>
            <w:vAlign w:val="center"/>
          </w:tcPr>
          <w:p w14:paraId="CFF2B145">
            <w:pPr>
              <w:pStyle w:val="style0"/>
              <w:spacing w:lineRule="auto" w:line="240"/>
              <w:jc w:val="center"/>
              <w:rPr/>
            </w:pPr>
            <w:r>
              <w:rPr>
                <w:rFonts w:ascii="Arial" w:cs="Arial" w:eastAsia="Arial" w:hAnsi="Arial"/>
                <w:b w:val="false"/>
                <w:bCs w:val="false"/>
                <w:sz w:val="19"/>
                <w:szCs w:val="19"/>
              </w:rPr>
              <w:t>129 612</w:t>
            </w:r>
          </w:p>
        </w:tc>
      </w:tr>
      <w:tr w14:paraId="77C8A411">
        <w:tblPrEx/>
        <w:trPr/>
        <w:tc>
          <w:tcPr>
            <w:tcW w:w="2350" w:type="dxa"/>
            <w:tcBorders/>
            <w:shd w:val="clear" w:color="auto" w:fill="d9e2d0"/>
            <w:tcMar>
              <w:top w:w="50" w:type="dxa"/>
              <w:left w:w="70" w:type="dxa"/>
              <w:bottom w:w="50" w:type="dxa"/>
              <w:right w:w="70" w:type="dxa"/>
            </w:tcMar>
            <w:vAlign w:val="center"/>
          </w:tcPr>
          <w:p w14:paraId="FB370DAC">
            <w:pPr>
              <w:pStyle w:val="style0"/>
              <w:spacing w:lineRule="auto" w:line="240"/>
              <w:jc w:val="left"/>
              <w:rPr/>
            </w:pPr>
            <w:r>
              <w:rPr>
                <w:rFonts w:ascii="Arial" w:cs="Arial" w:eastAsia="Arial" w:hAnsi="Arial"/>
                <w:b/>
                <w:bCs/>
                <w:sz w:val="19"/>
                <w:szCs w:val="19"/>
              </w:rPr>
              <w:t>Total</w:t>
            </w:r>
          </w:p>
        </w:tc>
        <w:tc>
          <w:tcPr>
            <w:tcW w:w="2000" w:type="dxa"/>
            <w:tcBorders/>
            <w:shd w:val="clear" w:color="auto" w:fill="d9e2d0"/>
            <w:tcMar>
              <w:top w:w="50" w:type="dxa"/>
              <w:left w:w="70" w:type="dxa"/>
              <w:bottom w:w="50" w:type="dxa"/>
              <w:right w:w="70" w:type="dxa"/>
            </w:tcMar>
            <w:vAlign w:val="center"/>
          </w:tcPr>
          <w:p w14:paraId="2E9DC1B0">
            <w:pPr>
              <w:pStyle w:val="style0"/>
              <w:spacing w:lineRule="auto" w:line="240"/>
              <w:jc w:val="center"/>
              <w:rPr/>
            </w:pPr>
            <w:r>
              <w:rPr>
                <w:rFonts w:ascii="Arial" w:cs="Arial" w:eastAsia="Arial" w:hAnsi="Arial"/>
                <w:b/>
                <w:bCs/>
                <w:sz w:val="19"/>
                <w:szCs w:val="19"/>
              </w:rPr>
              <w:t>27,943</w:t>
            </w:r>
          </w:p>
        </w:tc>
        <w:tc>
          <w:tcPr>
            <w:tcW w:w="2500" w:type="dxa"/>
            <w:tcBorders/>
            <w:shd w:val="clear" w:color="auto" w:fill="d9e2d0"/>
            <w:tcMar>
              <w:top w:w="50" w:type="dxa"/>
              <w:left w:w="70" w:type="dxa"/>
              <w:bottom w:w="50" w:type="dxa"/>
              <w:right w:w="70" w:type="dxa"/>
            </w:tcMar>
            <w:vAlign w:val="center"/>
          </w:tcPr>
          <w:p w14:paraId="22494A2D">
            <w:pPr>
              <w:pStyle w:val="style0"/>
              <w:spacing w:lineRule="auto" w:line="240"/>
              <w:jc w:val="center"/>
              <w:rPr/>
            </w:pPr>
            <w:r>
              <w:rPr>
                <w:rFonts w:ascii="Arial" w:cs="Arial" w:eastAsia="Arial" w:hAnsi="Arial"/>
                <w:b/>
                <w:bCs/>
                <w:sz w:val="19"/>
                <w:szCs w:val="19"/>
              </w:rPr>
              <w:t>72,31</w:t>
            </w:r>
          </w:p>
        </w:tc>
        <w:tc>
          <w:tcPr>
            <w:tcW w:w="2500" w:type="dxa"/>
            <w:tcBorders/>
            <w:shd w:val="clear" w:color="auto" w:fill="d9e2d0"/>
            <w:tcMar>
              <w:top w:w="50" w:type="dxa"/>
              <w:left w:w="70" w:type="dxa"/>
              <w:bottom w:w="50" w:type="dxa"/>
              <w:right w:w="70" w:type="dxa"/>
            </w:tcMar>
            <w:vAlign w:val="center"/>
          </w:tcPr>
          <w:p w14:paraId="3B579379">
            <w:pPr>
              <w:pStyle w:val="style0"/>
              <w:spacing w:lineRule="auto" w:line="240"/>
              <w:jc w:val="center"/>
              <w:rPr/>
            </w:pPr>
            <w:r>
              <w:rPr>
                <w:rFonts w:ascii="Arial" w:cs="Arial" w:eastAsia="Arial" w:hAnsi="Arial"/>
                <w:b/>
                <w:bCs/>
                <w:sz w:val="19"/>
                <w:szCs w:val="19"/>
              </w:rPr>
              <w:t>606 900</w:t>
            </w:r>
          </w:p>
        </w:tc>
      </w:tr>
    </w:tbl>
    <w:p w14:paraId="96BDA13E">
      <w:pPr>
        <w:pStyle w:val="style0"/>
        <w:spacing w:before="0" w:after="140" w:lineRule="auto" w:line="240"/>
        <w:jc w:val="both"/>
        <w:rPr/>
      </w:pPr>
      <w:r>
        <w:rPr>
          <w:rFonts w:ascii="Arial" w:cs="Arial" w:eastAsia="Arial" w:hAnsi="Arial"/>
          <w:b w:val="false"/>
          <w:bCs w:val="false"/>
          <w:i w:val="false"/>
          <w:iCs w:val="false"/>
          <w:sz w:val="24"/>
          <w:szCs w:val="24"/>
        </w:rPr>
        <w:t>En conjunto, las tres rutas propuestas ahorran 72,31 litros de petróleo al día, equivalentes a 24 296,16 litros al año, lo que representa un beneficio económico aproximado de 606 900 CUP anuales para la Unidad Presupuestada Municipal Comunales Cienfuegos, además de reducir el impacto ambiental asociado al consumo de combustible y a la permanencia de RSU sin recoger en la vía pública.</w:t>
      </w:r>
    </w:p>
    <w:p w14:paraId="CFAACB0E">
      <w:pPr>
        <w:pStyle w:val="style4098"/>
        <w:spacing w:before="180" w:after="100" w:lineRule="auto" w:line="240"/>
        <w:jc w:val="left"/>
        <w:rPr/>
      </w:pPr>
      <w:r>
        <w:rPr>
          <w:rFonts w:ascii="Arial" w:cs="Arial" w:eastAsia="Arial" w:hAnsi="Arial"/>
          <w:b/>
          <w:bCs/>
          <w:color w:val="1f4e2c"/>
          <w:sz w:val="27"/>
          <w:szCs w:val="27"/>
        </w:rPr>
        <w:t>6. Discusión</w:t>
      </w:r>
    </w:p>
    <w:p w14:paraId="033E6908">
      <w:pPr>
        <w:pStyle w:val="style0"/>
        <w:spacing w:before="0" w:after="140" w:lineRule="auto" w:line="240"/>
        <w:jc w:val="both"/>
        <w:rPr/>
      </w:pPr>
      <w:r>
        <w:rPr>
          <w:rFonts w:ascii="Arial" w:cs="Arial" w:eastAsia="Arial" w:hAnsi="Arial"/>
          <w:b w:val="false"/>
          <w:bCs w:val="false"/>
          <w:i w:val="false"/>
          <w:iCs w:val="false"/>
          <w:sz w:val="24"/>
          <w:szCs w:val="24"/>
        </w:rPr>
        <w:t>Los resultados obtenidos son consistentes con los reportados por Miranda Pérez y Figueredo Díaz (2023) para otras zonas de la propia ciudad de Cienfuegos mediante modelos de ruteo vehicular por arcos, quienes alcanzaron reducciones de hasta 66 % en la distancia recorrida y 76 % en el consumo de combustible, lo que confirma que el rediseño de rutas con métodos de optimización —y no con criterios empíricos— constituye una vía efectiva y replicable para mejorar la eficiencia del servicio de recogida en el municipio.</w:t>
      </w:r>
    </w:p>
    <w:p w14:paraId="942BEA44">
      <w:pPr>
        <w:pStyle w:val="style0"/>
        <w:spacing w:before="0" w:after="140" w:lineRule="auto" w:line="240"/>
        <w:jc w:val="both"/>
        <w:rPr/>
      </w:pPr>
      <w:r>
        <w:rPr>
          <w:rFonts w:ascii="Arial" w:cs="Arial" w:eastAsia="Arial" w:hAnsi="Arial"/>
          <w:b w:val="false"/>
          <w:bCs w:val="false"/>
          <w:i w:val="false"/>
          <w:iCs w:val="false"/>
          <w:sz w:val="24"/>
          <w:szCs w:val="24"/>
        </w:rPr>
        <w:t>Asimismo, en el contexto de los hallazgos más recientes sobre la gestión integral de RSU en Cienfuegos, que señalan un índice de generación actualizado de 0,81 kg/hab/día y la necesidad de articular un modelo de gestión integral orientado a la economía circular (Alonso Pérez, 2024), la propuesta de rutas aquí presentada constituye un primer paso operativo —centrado en la recolección— que puede integrarse a futuras estrategias municipales más amplias de manejo de los RSU.</w:t>
      </w:r>
    </w:p>
    <w:p w14:paraId="A597150B">
      <w:pPr>
        <w:pStyle w:val="style0"/>
        <w:rPr/>
      </w:pPr>
      <w:r>
        <w:rPr>
          <w:rFonts w:ascii="Arial" w:cs="Arial" w:eastAsia="Arial" w:hAnsi="Arial"/>
          <w:b/>
          <w:bCs/>
          <w:color w:val="1f4e2c"/>
          <w:sz w:val="30"/>
          <w:szCs w:val="30"/>
        </w:rPr>
        <w:t>Conclusiones</w:t>
      </w:r>
    </w:p>
    <w:p w14:paraId="D59471B4">
      <w:pPr>
        <w:pStyle w:val="style0"/>
        <w:spacing w:before="0" w:after="140" w:lineRule="auto" w:line="240"/>
        <w:jc w:val="both"/>
        <w:rPr/>
      </w:pPr>
      <w:r>
        <w:rPr>
          <w:rFonts w:ascii="Arial" w:cs="Arial" w:eastAsia="Arial" w:hAnsi="Arial"/>
          <w:b/>
          <w:bCs/>
          <w:i w:val="false"/>
          <w:iCs w:val="false"/>
          <w:sz w:val="24"/>
          <w:szCs w:val="24"/>
        </w:rPr>
        <w:t xml:space="preserve">1. </w:t>
      </w:r>
      <w:r>
        <w:rPr>
          <w:rFonts w:ascii="Arial" w:cs="Arial" w:eastAsia="Arial" w:hAnsi="Arial"/>
          <w:b w:val="false"/>
          <w:bCs w:val="false"/>
          <w:i w:val="false"/>
          <w:iCs w:val="false"/>
          <w:sz w:val="24"/>
          <w:szCs w:val="24"/>
        </w:rPr>
        <w:t>La generación de RSU crece aceleradamente en el mundo, lo que ha motivado la aplicación de diversos métodos de tratamiento y de ruteo para su recolección y disposición final.</w:t>
      </w:r>
    </w:p>
    <w:p w14:paraId="B86F08F2">
      <w:pPr>
        <w:pStyle w:val="style0"/>
        <w:spacing w:before="0" w:after="140" w:lineRule="auto" w:line="240"/>
        <w:jc w:val="both"/>
        <w:rPr/>
      </w:pPr>
      <w:r>
        <w:rPr>
          <w:rFonts w:ascii="Arial" w:cs="Arial" w:eastAsia="Arial" w:hAnsi="Arial"/>
          <w:b/>
          <w:bCs/>
          <w:i w:val="false"/>
          <w:iCs w:val="false"/>
          <w:sz w:val="24"/>
          <w:szCs w:val="24"/>
        </w:rPr>
        <w:t xml:space="preserve">2. </w:t>
      </w:r>
      <w:r>
        <w:rPr>
          <w:rFonts w:ascii="Arial" w:cs="Arial" w:eastAsia="Arial" w:hAnsi="Arial"/>
          <w:b w:val="false"/>
          <w:bCs w:val="false"/>
          <w:i w:val="false"/>
          <w:iCs w:val="false"/>
          <w:sz w:val="24"/>
          <w:szCs w:val="24"/>
        </w:rPr>
        <w:t>Cienfuegos presenta uno de los mayores índices de generación de RSU per cápita de Cuba (</w:t>
      </w:r>
      <w:r>
        <w:rPr>
          <w:rFonts w:ascii="Arial" w:cs="Arial" w:eastAsia="Arial" w:hAnsi="Arial"/>
          <w:b w:val="false"/>
          <w:bCs w:val="false"/>
          <w:i w:val="false"/>
          <w:iCs w:val="false"/>
          <w:sz w:val="24"/>
          <w:szCs w:val="24"/>
          <w:lang w:val="en-US"/>
        </w:rPr>
        <w:t xml:space="preserve">sexta </w:t>
      </w:r>
      <w:r>
        <w:rPr>
          <w:rFonts w:ascii="Arial" w:cs="Arial" w:eastAsia="Arial" w:hAnsi="Arial"/>
          <w:b w:val="false"/>
          <w:bCs w:val="false"/>
          <w:i w:val="false"/>
          <w:iCs w:val="false"/>
          <w:sz w:val="24"/>
          <w:szCs w:val="24"/>
        </w:rPr>
        <w:t>provincia del país) y, al ser el municipio más poblado de la provincia, constituye su mayor generador de residuos; investigaciones recientes sitúan este índice en 0,81 kg/hab/día, por encima del valor de referencia utilizado originalmente en el diagnóstico (Alonso Pérez, 2024), lo que reafirma la vigencia del problema abordado.</w:t>
      </w:r>
    </w:p>
    <w:p w14:paraId="18F85738">
      <w:pPr>
        <w:pStyle w:val="style0"/>
        <w:spacing w:before="0" w:after="140" w:lineRule="auto" w:line="240"/>
        <w:jc w:val="both"/>
        <w:rPr/>
      </w:pPr>
      <w:r>
        <w:rPr>
          <w:rFonts w:ascii="Arial" w:cs="Arial" w:eastAsia="Arial" w:hAnsi="Arial"/>
          <w:b/>
          <w:bCs/>
          <w:i w:val="false"/>
          <w:iCs w:val="false"/>
          <w:sz w:val="24"/>
          <w:szCs w:val="24"/>
        </w:rPr>
        <w:t xml:space="preserve">3. </w:t>
      </w:r>
      <w:r>
        <w:rPr>
          <w:rFonts w:ascii="Arial" w:cs="Arial" w:eastAsia="Arial" w:hAnsi="Arial"/>
          <w:b w:val="false"/>
          <w:bCs w:val="false"/>
          <w:i w:val="false"/>
          <w:iCs w:val="false"/>
          <w:sz w:val="24"/>
          <w:szCs w:val="24"/>
        </w:rPr>
        <w:t>El Método del Cartero Chino es el que mejor se adecua al diseño de rutas de recogida de RSU según las características del municipio de Cienfuegos, al resolver eficientemente el recorrido de calles (arcos) que deben visitarse, enfoque que coincide con el empleado en estudios posteriores de ruteo vehicular aplicados a otras zonas de la ciudad (Miranda Pérez y Figueredo Díaz, 2023).</w:t>
      </w:r>
    </w:p>
    <w:p w14:paraId="0D537412">
      <w:pPr>
        <w:pStyle w:val="style0"/>
        <w:spacing w:before="0" w:after="140" w:lineRule="auto" w:line="240"/>
        <w:jc w:val="both"/>
        <w:rPr/>
      </w:pPr>
      <w:r>
        <w:rPr>
          <w:rFonts w:ascii="Arial" w:cs="Arial" w:eastAsia="Arial" w:hAnsi="Arial"/>
          <w:b/>
          <w:bCs/>
          <w:i w:val="false"/>
          <w:iCs w:val="false"/>
          <w:sz w:val="24"/>
          <w:szCs w:val="24"/>
        </w:rPr>
        <w:t xml:space="preserve">4. </w:t>
      </w:r>
      <w:r>
        <w:rPr>
          <w:rFonts w:ascii="Arial" w:cs="Arial" w:eastAsia="Arial" w:hAnsi="Arial"/>
          <w:b w:val="false"/>
          <w:bCs w:val="false"/>
          <w:i w:val="false"/>
          <w:iCs w:val="false"/>
          <w:sz w:val="24"/>
          <w:szCs w:val="24"/>
        </w:rPr>
        <w:t>Los Consejos Populares de Junco Sur, Buena Vista y Pueblo Griffo fueron seleccionados por concentrar la mayor población, generación de RSU y cantidad de quejas registradas en los últimos tres años.</w:t>
      </w:r>
    </w:p>
    <w:p w14:paraId="AD6774CC">
      <w:pPr>
        <w:pStyle w:val="style0"/>
        <w:spacing w:before="0" w:after="140" w:lineRule="auto" w:line="240"/>
        <w:jc w:val="both"/>
        <w:rPr/>
      </w:pPr>
      <w:r>
        <w:rPr>
          <w:rFonts w:ascii="Arial" w:cs="Arial" w:eastAsia="Arial" w:hAnsi="Arial"/>
          <w:b/>
          <w:bCs/>
          <w:i w:val="false"/>
          <w:iCs w:val="false"/>
          <w:sz w:val="24"/>
          <w:szCs w:val="24"/>
        </w:rPr>
        <w:t xml:space="preserve">5. </w:t>
      </w:r>
      <w:r>
        <w:rPr>
          <w:rFonts w:ascii="Arial" w:cs="Arial" w:eastAsia="Arial" w:hAnsi="Arial"/>
          <w:b w:val="false"/>
          <w:bCs w:val="false"/>
          <w:i w:val="false"/>
          <w:iCs w:val="false"/>
          <w:sz w:val="24"/>
          <w:szCs w:val="24"/>
        </w:rPr>
        <w:t>Las nuevas rutas propuestas para estos tres CP reducen la distancia recorrida y generan un ahorro conjunto de 72,31 litros de petróleo al día (24 296,16 L/año), equivalente a unos 606 900 CUP anuales no consumidos por la entidad.</w:t>
      </w:r>
    </w:p>
    <w:p w14:paraId="1EC8193F">
      <w:pPr>
        <w:pStyle w:val="style0"/>
        <w:spacing w:before="0" w:after="140" w:lineRule="auto" w:line="240"/>
        <w:jc w:val="both"/>
        <w:rPr/>
      </w:pPr>
      <w:r>
        <w:rPr>
          <w:rFonts w:ascii="Arial" w:cs="Arial" w:eastAsia="Arial" w:hAnsi="Arial"/>
          <w:b/>
          <w:bCs/>
          <w:i w:val="false"/>
          <w:iCs w:val="false"/>
          <w:sz w:val="24"/>
          <w:szCs w:val="24"/>
        </w:rPr>
        <w:t xml:space="preserve">6. </w:t>
      </w:r>
      <w:r>
        <w:rPr>
          <w:rFonts w:ascii="Arial" w:cs="Arial" w:eastAsia="Arial" w:hAnsi="Arial"/>
          <w:b w:val="false"/>
          <w:bCs w:val="false"/>
          <w:i w:val="false"/>
          <w:iCs w:val="false"/>
          <w:sz w:val="24"/>
          <w:szCs w:val="24"/>
        </w:rPr>
        <w:t>La propuesta responde a las demandas de la población, mejora las condiciones higiénico-sanitarias del municipio y se enmarca en la Estrategia de Desarrollo Municipal y el Plan 2030.</w:t>
      </w:r>
    </w:p>
    <w:p w14:paraId="7E51370D">
      <w:pPr>
        <w:pStyle w:val="style0"/>
        <w:spacing w:before="0" w:after="140" w:lineRule="auto" w:line="240"/>
        <w:jc w:val="both"/>
        <w:rPr/>
      </w:pPr>
      <w:r>
        <w:rPr>
          <w:rFonts w:ascii="Arial" w:cs="Arial" w:eastAsia="Arial" w:hAnsi="Arial"/>
          <w:b/>
          <w:bCs/>
          <w:i w:val="false"/>
          <w:iCs w:val="false"/>
          <w:sz w:val="24"/>
          <w:szCs w:val="24"/>
        </w:rPr>
        <w:t xml:space="preserve">7. </w:t>
      </w:r>
      <w:r>
        <w:rPr>
          <w:rFonts w:ascii="Arial" w:cs="Arial" w:eastAsia="Arial" w:hAnsi="Arial"/>
          <w:b w:val="false"/>
          <w:bCs w:val="false"/>
          <w:i w:val="false"/>
          <w:iCs w:val="false"/>
          <w:sz w:val="24"/>
          <w:szCs w:val="24"/>
        </w:rPr>
        <w:t>Se recomienda extender la aplicación del Método del Cartero Chino al resto de los Consejos Populares del municipio y articular sus resultados con las estrategias más recientes de gestión integral de RSU y economía circular propuestas para Cienfuegos (Alonso Pérez, 2024).</w:t>
      </w:r>
    </w:p>
    <w:p w14:paraId="8A7EF99B">
      <w:pPr>
        <w:pStyle w:val="style4097"/>
        <w:spacing w:before="180" w:after="100" w:lineRule="auto" w:line="240"/>
        <w:jc w:val="left"/>
        <w:rPr/>
      </w:pPr>
      <w:r>
        <w:rPr>
          <w:rFonts w:ascii="Arial" w:cs="Arial" w:eastAsia="Arial" w:hAnsi="Arial"/>
          <w:b/>
          <w:bCs/>
          <w:color w:val="1f4e2c"/>
          <w:sz w:val="27"/>
          <w:szCs w:val="27"/>
        </w:rPr>
        <w:t>Bibliografía</w:t>
      </w:r>
    </w:p>
    <w:p w14:paraId="6D8EC60D">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Alonso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Pérez,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(2024).</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gestión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integral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residuos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sólidos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urbanos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economía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circular,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desafío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desarrollo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local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Revista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Cubana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Ciencias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Económicas.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EKOTEMAS,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10(1).</w:t>
      </w:r>
    </w:p>
    <w:p w14:paraId="C99C3B45">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Banco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Mundial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(2026).</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What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Waste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3.0:</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Global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Snapshot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of</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Solid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Waste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Management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toward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Circularity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until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2050.</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Washington,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DC:</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World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Bank</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Group.</w:t>
      </w:r>
    </w:p>
    <w:p w14:paraId="3053D4F4">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Cárdenas-Ferrer,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Santos-Herrero,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Contreras-Moya,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Rosa-Domínguez,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&amp;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Domínguez-Núñez,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J.</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(2019).</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Propuesta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metodológica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sistema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gestión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residuos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sólidos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urbanos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Villa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Clara.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Revista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Tecnología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Química,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39(2).</w:t>
      </w:r>
    </w:p>
    <w:p w14:paraId="CC7BB3F0">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Corberán,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(2014).</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Problema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Cartero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Chino.</w:t>
      </w:r>
    </w:p>
    <w:p w14:paraId="F125D000">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Correa,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J.,</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Rodríguez,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&amp;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Hernández,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(2017).</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gestión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energética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local: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elemento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desarrollo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sostenible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Cuba.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Universidad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Sociedad.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Recuperado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partir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http://rus.ucf.edu.cu/index.php/rus/</w:t>
      </w:r>
    </w:p>
    <w:p w14:paraId="33906C2A">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Fernando,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J.</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(2014).</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Gestión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residuos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sólidos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sus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impactos,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41,</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2223-4861.</w:t>
      </w:r>
    </w:p>
    <w:p w14:paraId="C5F4128F">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Hoornweg,</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&amp;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Bhada-Tata,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(2012).</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What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waste: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global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review</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of</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solid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waste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management.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Recuperado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partir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www.worldbank.org/urban</w:t>
      </w:r>
    </w:p>
    <w:p w14:paraId="55A9220A">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Kaza,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Yao,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Bhada-Tata,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&amp;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Van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Woerden,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(2018).</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What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Waste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Global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Snapshot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of</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Solid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Waste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Management</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2050.</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Washington,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DC:</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World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Bank</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Group.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https://doi.org/10.1596/978-1-4648-1329-0</w:t>
      </w:r>
    </w:p>
    <w:p w14:paraId="1E34EAF6">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Miranda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Pérez,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&amp;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Figueredo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Díaz,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(2023).</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Optimización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ruteo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vehículos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recolección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desechos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sólidos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municipales-caso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Revista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Científica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Cultura,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Comunicación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Desarrollo,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8(1),</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88-95.</w:t>
      </w:r>
    </w:p>
    <w:p w14:paraId="4C7CD0A7">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ONEI</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(2018a).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Panorama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Ambiental.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Cuba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2017</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(junio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2018).</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Centro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Gestión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Información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Económica,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Medioambiental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Social.</w:t>
      </w:r>
    </w:p>
    <w:p w14:paraId="44C3BC5F">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ONEI</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(2018b).</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Anuario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Estadístico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Cuba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2017</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(2018.ª</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ed.).</w:t>
      </w:r>
    </w:p>
    <w:p w14:paraId="DE163797">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ONEI</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(2023).</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Anuario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Estadístico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edición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2023</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(datos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cierre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2022).</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Oficina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Provincial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Estadística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Información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p>
    <w:p w14:paraId="6B2CF55F">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Pérez,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V.,</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Lorenzo,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&amp;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Sarduy,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(2015).</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Gestión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ambiental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residuos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sólidos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urbanos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Sancti</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Spíritus: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identificación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debilidades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perspectivas.</w:t>
      </w:r>
    </w:p>
    <w:p w14:paraId="B52CBA3D">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Puerta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Fernández,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J.</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Monteagudo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Yanes,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J.</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&amp;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Cabrera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Sánchez,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J.</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(2025).</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Estrategia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para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concientización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formación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curricular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comunidad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universitaria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mejor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uso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residuos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sólidos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urbanos.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Revista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Conrado,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22(110),</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e4762.</w:t>
      </w:r>
    </w:p>
    <w:p w14:paraId="8143BFE6">
      <w:pPr>
        <w:pStyle w:val="style0"/>
        <w:spacing w:after="160" w:lineRule="auto" w:line="259"/>
        <w:jc w:val="left"/>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Rodríguez,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(2019).</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Integración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potencialidades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energéticas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desarrollo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local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municipio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(Máster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Ingeniería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Industrial).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Universidad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Cienfuegos.</w:t>
      </w:r>
    </w:p>
    <w:p w14:paraId="0A082D85">
      <w:pPr>
        <w:pStyle w:val="style0"/>
        <w:spacing w:before="0" w:after="140" w:lineRule="auto" w:line="240"/>
        <w:jc w:val="both"/>
        <w:rPr/>
      </w:pPr>
      <w:r>
        <w:rPr>
          <w:rFonts w:ascii="Calibri" w:cs="宋体" w:eastAsia="Calibri" w:hAnsi="Calibri" w:hint="default"/>
          <w:b w:val="false"/>
          <w:bCs w:val="false"/>
          <w:i w:val="false"/>
          <w:iCs w:val="false"/>
          <w:color w:val="auto"/>
          <w:sz w:val="22"/>
          <w:szCs w:val="22"/>
          <w:highlight w:val="none"/>
          <w:vertAlign w:val="baseline"/>
          <w:em w:val="none"/>
          <w:lang w:val="en-US" w:eastAsia="en-US"/>
        </w:rPr>
        <w:t>Rodríguez,</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&amp;</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Marrero,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F.</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(2010).</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problema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ruteo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vehículos: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teoría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y</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aplicaciones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en</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sector</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empresarial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cubano.</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Universidad</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Central</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Marta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Abreus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de</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las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Villas,</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Villa</w:t>
      </w:r>
      <w:r>
        <w:rPr>
          <w:rFonts w:ascii="Calibri" w:cs="宋体" w:eastAsia="Calibri" w:hAnsi="Calibri" w:hint="default"/>
          <w:b w:val="false"/>
          <w:bCs w:val="false"/>
          <w:i w:val="false"/>
          <w:iCs w:val="false"/>
          <w:color w:val="auto"/>
          <w:sz w:val="22"/>
          <w:szCs w:val="22"/>
          <w:highlight w:val="none"/>
          <w:vertAlign w:val="baseline"/>
          <w:em w:val="none"/>
          <w:lang w:val="en-US" w:eastAsia="en-US"/>
        </w:rPr>
        <w:t xml:space="preserve"> </w:t>
      </w:r>
      <w:r>
        <w:rPr>
          <w:rFonts w:ascii="Calibri" w:cs="宋体" w:eastAsia="Calibri" w:hAnsi="Calibri" w:hint="default"/>
          <w:b w:val="false"/>
          <w:bCs w:val="false"/>
          <w:i w:val="false"/>
          <w:iCs w:val="false"/>
          <w:color w:val="auto"/>
          <w:sz w:val="22"/>
          <w:szCs w:val="22"/>
          <w:highlight w:val="none"/>
          <w:vertAlign w:val="baseline"/>
          <w:em w:val="none"/>
          <w:lang w:val="en-US" w:eastAsia="en-US"/>
        </w:rPr>
        <w:t>Clara.</w:t>
      </w:r>
    </w:p>
    <w:p w14:paraId="3F78436E">
      <w:pPr>
        <w:pStyle w:val="style0"/>
        <w:spacing w:before="0" w:after="140" w:lineRule="auto" w:line="240"/>
        <w:jc w:val="both"/>
        <w:rPr/>
      </w:pPr>
    </w:p>
    <w:sectPr>
      <w:pgSz w:w="12240" w:h="15840" w:orient="portrait"/>
      <w:pgMar w:top="1417" w:right="1417" w:bottom="1417" w:left="1417"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altName w:val="Arial"/>
    <w:panose1 w:val="020b0604020000020204"/>
    <w:charset w:val="01"/>
    <w:family w:val="swiss"/>
    <w:pitch w:val="default"/>
    <w:sig w:usb0="00007A87" w:usb1="80000000" w:usb2="00000008" w:usb3="00000000" w:csb0="400001FF" w:csb1="FFFF0000"/>
  </w:font>
  <w:font w:name="Calibri">
    <w:altName w:val="Calibri"/>
    <w:panose1 w:val="020f0502020000030204"/>
    <w:charset w:val="7a"/>
    <w:family w:val="swiss"/>
    <w:pitch w:val="default"/>
    <w:sig w:usb0="E10002FF" w:usb1="4000ACFF" w:usb2="00000009" w:usb3="00000000" w:csb0="2000019F" w:csb1="00000000"/>
  </w:font>
  <w:font w:name="宋体">
    <w:altName w:val="宋体"/>
    <w:panose1 w:val="02010600030000010101"/>
    <w:charset w:val="7a"/>
    <w:family w:val="auto"/>
    <w:pitch w:val="default"/>
    <w:sig w:usb0="00000003" w:usb1="080E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sz w:val="24"/>
        <w:szCs w:val="24"/>
      </w:rPr>
    </w:rPrDefault>
    <w:pPrDefault>
      <w:pPr/>
    </w:pPrDefault>
  </w:docDefaults>
  <w:style w:type="paragraph" w:styleId="style62">
    <w:name w:val="Title"/>
    <w:next w:val="style62"/>
    <w:qFormat/>
    <w:pPr/>
    <w:rPr>
      <w:sz w:val="56"/>
      <w:szCs w:val="56"/>
    </w:rPr>
  </w:style>
  <w:style w:type="paragraph" w:customStyle="1" w:styleId="style4097">
    <w:name w:val="Heading 1"/>
    <w:next w:val="style4097"/>
    <w:qFormat/>
    <w:pPr/>
    <w:rPr>
      <w:color w:val="2e74b5"/>
      <w:sz w:val="32"/>
      <w:szCs w:val="32"/>
    </w:rPr>
  </w:style>
  <w:style w:type="paragraph" w:customStyle="1" w:styleId="style4098">
    <w:name w:val="Heading 2"/>
    <w:next w:val="style4098"/>
    <w:qFormat/>
    <w:pPr/>
    <w:rPr>
      <w:color w:val="2e74b5"/>
      <w:sz w:val="26"/>
      <w:szCs w:val="26"/>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8cabd9b3-9ed4-46ba-b1f0-be83769b24a5"/>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next w:val="style0"/>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2270</Words>
  <Characters>12435</Characters>
  <Application>WPS Office</Application>
  <Paragraphs>144</Paragraphs>
  <CharactersWithSpaces>14582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2026-10-08T04:05:37Z</dcterms:created>
  <dc:creator>Un-named</dc:creator>
  <lastModifiedBy>SM-A165M</lastModifiedBy>
  <dcterms:modified xsi:type="dcterms:W3CDTF">2026-10-09T09:58:50Z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f4d669e57cfe4d37b2858543cbf9adbb_23</vt:lpwstr>
  </property>
</Properties>
</file>