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9A52DE5">
      <w:pPr>
        <w:pStyle w:val="style0"/>
        <w:spacing w:after="200" w:lineRule="auto" w:line="240"/>
        <w:jc w:val="center"/>
        <w:rPr/>
      </w:pPr>
      <w:r>
        <w:rPr>
          <w:rFonts w:ascii="Arial" w:cs="Arial" w:eastAsia="Arial" w:hAnsi="Arial"/>
          <w:b/>
          <w:bCs/>
          <w:sz w:val="24"/>
          <w:szCs w:val="26"/>
        </w:rPr>
        <w:t>LA CONTRATACIÓN ECONÓMICA EN ASLEG CIENFUEGOS: DIAGNÓSTICO Y PROPUESTAS</w:t>
      </w:r>
    </w:p>
    <w:p w14:paraId="D4052402">
      <w:pPr>
        <w:pStyle w:val="style0"/>
        <w:spacing w:after="200" w:lineRule="auto" w:line="240"/>
        <w:jc w:val="center"/>
        <w:rPr/>
      </w:pPr>
      <w:r>
        <w:rPr>
          <w:rFonts w:ascii="Arial" w:cs="Arial" w:eastAsia="Arial" w:hAnsi="Arial"/>
          <w:sz w:val="24"/>
          <w:szCs w:val="24"/>
        </w:rPr>
        <w:t>Eje temático: Gestión Empresarial y Desarrollo Local</w:t>
      </w:r>
    </w:p>
    <w:p w14:paraId="1985EA26">
      <w:pPr>
        <w:pStyle w:val="style0"/>
        <w:spacing w:after="60" w:lineRule="auto" w:line="240"/>
        <w:rPr/>
      </w:pPr>
      <w:r>
        <w:rPr>
          <w:rFonts w:ascii="Arial" w:cs="Arial" w:eastAsia="Arial" w:hAnsi="Arial"/>
          <w:b/>
          <w:bCs/>
          <w:sz w:val="24"/>
          <w:szCs w:val="24"/>
        </w:rPr>
        <w:t>Autores:</w:t>
      </w:r>
    </w:p>
    <w:p w14:paraId="C6B42D2A">
      <w:pPr>
        <w:pStyle w:val="style0"/>
        <w:spacing w:after="60" w:lineRule="auto" w:line="240"/>
        <w:jc w:val="both"/>
        <w:rPr/>
      </w:pPr>
      <w:r>
        <w:rPr>
          <w:rFonts w:ascii="Arial" w:cs="Arial" w:eastAsia="Arial" w:hAnsi="Arial"/>
          <w:sz w:val="24"/>
          <w:szCs w:val="24"/>
        </w:rPr>
        <w:t>Lic. Bárbara Luz Campos López. Empresa Provincial de Consultoría Jurídica Cienfuegos (ASLEG). Teléfono: 50995707. Correo electrónico: barbaraluzcl01@gmail.com.</w:t>
      </w:r>
    </w:p>
    <w:p w14:paraId="DD8A7AF0">
      <w:pPr>
        <w:pStyle w:val="style0"/>
        <w:spacing w:after="240" w:lineRule="auto" w:line="240"/>
        <w:jc w:val="both"/>
        <w:rPr/>
      </w:pPr>
      <w:r>
        <w:rPr>
          <w:rFonts w:ascii="Arial" w:cs="Arial" w:eastAsia="Arial" w:hAnsi="Arial"/>
          <w:sz w:val="24"/>
          <w:szCs w:val="24"/>
        </w:rPr>
        <w:t>Lic. Yaniel Rodríguez Fuentes. Empresa Provincial de Consultoría Jurídica Cienfuegos (ASLEG). Teléfono: 52632782. Correo electrónico: yanielrfuentes@nauta.cu.</w:t>
      </w:r>
    </w:p>
    <w:p w14:paraId="31A8EEFC">
      <w:pPr>
        <w:pStyle w:val="style0"/>
        <w:keepNext/>
        <w:spacing w:before="240" w:after="120" w:lineRule="auto" w:line="240"/>
        <w:rPr/>
      </w:pPr>
      <w:r>
        <w:rPr>
          <w:rFonts w:ascii="Arial" w:cs="Arial" w:eastAsia="Arial" w:hAnsi="Arial"/>
          <w:b/>
          <w:bCs/>
          <w:sz w:val="24"/>
          <w:szCs w:val="24"/>
        </w:rPr>
        <w:t>RESUMEN</w:t>
      </w:r>
    </w:p>
    <w:p w14:paraId="437E38B9">
      <w:pPr>
        <w:pStyle w:val="style0"/>
        <w:spacing w:after="160" w:lineRule="auto" w:line="240"/>
        <w:jc w:val="both"/>
        <w:rPr/>
      </w:pPr>
      <w:r>
        <w:rPr>
          <w:rFonts w:ascii="Arial" w:cs="Arial" w:eastAsia="Arial" w:hAnsi="Arial"/>
          <w:sz w:val="24"/>
          <w:szCs w:val="24"/>
        </w:rPr>
        <w:t>La presente investigación se desarrolla en la Empresa Provincial de Consultoría Jurídica (ASLEG) en Cienfuegos. Su objetivo es determinar las deficiencias que presenta el proceso de concertación de contratos económicos en las entidades asesoradas por dicha entidad, con el fin de proponer soluciones que integren la visión jurídica y la administración de negocios. Para ello, se emplearon herramientas metodológicas mixtas: métodos teóricos como el analítico-sintético y el histórico-lógico; y métodos empíricos como el análisis documental de expedientes y proformas, entrevistas a directivos y asesores jurídicos, y observación en Comités de Contratación. Se trabajó con una muestra de 331 entidades contratadas durante el período enero-julio de 2026. Los resultados esperados apuntan a identificar las principales irregularidades en las fases de negociación, diseño y control de los contratos, tales como cláusulas ambiguas, falta de garantías e intereses moratorios, y la desarticulación entre las áreas económica y jurídica. A partir de este diagnóstico, se espera proponer un sistema de acciones que fortalezca la responsabilidad contractual y eleve la eficiencia de la gestión empresarial en el territorio.</w:t>
      </w:r>
    </w:p>
    <w:p w14:paraId="FF5E810C">
      <w:pPr>
        <w:pStyle w:val="style0"/>
        <w:spacing w:after="200" w:lineRule="auto" w:line="240"/>
        <w:jc w:val="both"/>
        <w:rPr/>
      </w:pPr>
      <w:r>
        <w:rPr>
          <w:rFonts w:ascii="Arial" w:cs="Arial" w:eastAsia="Arial" w:hAnsi="Arial"/>
          <w:b/>
          <w:bCs/>
          <w:sz w:val="24"/>
          <w:szCs w:val="24"/>
        </w:rPr>
        <w:t>Palabras clave:</w:t>
      </w:r>
      <w:r>
        <w:rPr>
          <w:rFonts w:ascii="Arial" w:cs="Arial" w:eastAsia="Arial" w:hAnsi="Arial"/>
          <w:sz w:val="24"/>
          <w:szCs w:val="24"/>
        </w:rPr>
        <w:t xml:space="preserve"> contratación económica, gestión empresarial, responsabilidad contractual.</w:t>
      </w:r>
    </w:p>
    <w:p w14:paraId="A6F65F76">
      <w:pPr>
        <w:pStyle w:val="style0"/>
        <w:keepNext/>
        <w:spacing w:before="240" w:after="120" w:lineRule="auto" w:line="240"/>
        <w:rPr/>
      </w:pPr>
      <w:r>
        <w:rPr>
          <w:rFonts w:ascii="Arial" w:cs="Arial" w:eastAsia="Arial" w:hAnsi="Arial"/>
          <w:b/>
          <w:bCs/>
          <w:sz w:val="24"/>
          <w:szCs w:val="24"/>
        </w:rPr>
        <w:t>1. JUSTIFICACIÓN</w:t>
      </w:r>
    </w:p>
    <w:p w14:paraId="06DC8BE1">
      <w:pPr>
        <w:pStyle w:val="style0"/>
        <w:spacing w:after="160" w:lineRule="auto" w:line="240"/>
        <w:ind w:firstLine="567"/>
        <w:jc w:val="both"/>
        <w:rPr/>
      </w:pPr>
      <w:r>
        <w:rPr>
          <w:rFonts w:ascii="Arial" w:cs="Arial" w:eastAsia="Arial" w:hAnsi="Arial"/>
          <w:sz w:val="24"/>
          <w:szCs w:val="24"/>
        </w:rPr>
        <w:t>Cuba se encuentra inmersa en un proceso de actualización de su modelo económico, en el que la contratación económica desempeña un papel decisivo entre los sujetos de los diferentes sectores que participan en la economía, de forma especial entre las entidades estatales y los actores económicos no estatales. Los Lineamientos de la Política Económica y Social del Partido y la Revolución expresan la necesidad de continuar fortaleciendo el papel del contrato como instrumento esencial de la gestión económica, elevando la exigencia en su cumplimiento entre los actores económicos.</w:t>
      </w:r>
    </w:p>
    <w:p w14:paraId="0AD48254">
      <w:pPr>
        <w:pStyle w:val="style0"/>
        <w:spacing w:after="160" w:lineRule="auto" w:line="240"/>
        <w:ind w:firstLine="567"/>
        <w:jc w:val="both"/>
        <w:rPr/>
      </w:pPr>
      <w:r>
        <w:rPr>
          <w:rFonts w:ascii="Arial" w:cs="Arial" w:eastAsia="Arial" w:hAnsi="Arial"/>
          <w:sz w:val="24"/>
          <w:szCs w:val="24"/>
        </w:rPr>
        <w:t>A pesar de las medidas adoptadas para perfeccionar el proceso de contratación, incluidas las normas que regulan las relaciones de las entidades estatales con los actores no estatales, aún se constatan deficiencias en la concertación, en el seguimiento a los dictámenes jurídicos y en la acreditación de las partes contratantes. Estos factores inciden negativamente en el cumplimiento de los planes económicos y, a nivel de base, en el salario de los trabajadores y en la productividad de las entidades. Desde la administración de negocios, un contrato deficiente representa además un riesgo financiero y operativo, que se traduce en afectaciones al capital de trabajo, a las cuentas por cobrar y por pagar, y en costos derivados de la «no calidad» contractual.</w:t>
      </w:r>
    </w:p>
    <w:p w14:paraId="B6292ADD">
      <w:pPr>
        <w:pStyle w:val="style0"/>
        <w:spacing w:after="160" w:lineRule="auto" w:line="240"/>
        <w:ind w:firstLine="567"/>
        <w:jc w:val="both"/>
        <w:rPr/>
      </w:pPr>
      <w:r>
        <w:rPr>
          <w:rFonts w:ascii="Arial" w:cs="Arial" w:eastAsia="Arial" w:hAnsi="Arial"/>
          <w:sz w:val="24"/>
          <w:szCs w:val="24"/>
        </w:rPr>
        <w:t>Durante el período enero-julio de 2026 fueron evidenciadas en la Empresa Provincial de Consultoría Jurídica Cienfuegos (ASLEG) deficiencias en el proceso de contratación económica entre las entidades asesoradas, lo que trajo como consecuencia, en algunos clientes, incumplimientos contractuales. De ahí la necesidad de determinar las causas de estas deficiencias y de proponer soluciones que integren la visión jurídica y la administración de negocios.</w:t>
      </w:r>
    </w:p>
    <w:p w14:paraId="F0A12563">
      <w:pPr>
        <w:pStyle w:val="style0"/>
        <w:keepNext/>
        <w:spacing w:before="240" w:after="120" w:lineRule="auto" w:line="240"/>
        <w:rPr/>
      </w:pPr>
      <w:r>
        <w:rPr>
          <w:rFonts w:ascii="Arial" w:cs="Arial" w:eastAsia="Arial" w:hAnsi="Arial"/>
          <w:b/>
          <w:bCs/>
          <w:sz w:val="24"/>
          <w:szCs w:val="24"/>
        </w:rPr>
        <w:t>2. OBJETIVO GENERAL</w:t>
      </w:r>
    </w:p>
    <w:p w14:paraId="2B63AD12">
      <w:pPr>
        <w:pStyle w:val="style0"/>
        <w:spacing w:after="160" w:lineRule="auto" w:line="240"/>
        <w:ind w:firstLine="567"/>
        <w:jc w:val="both"/>
        <w:rPr/>
      </w:pPr>
      <w:r>
        <w:rPr>
          <w:rFonts w:ascii="Arial" w:cs="Arial" w:eastAsia="Arial" w:hAnsi="Arial"/>
          <w:sz w:val="24"/>
          <w:szCs w:val="24"/>
        </w:rPr>
        <w:t>Determinar las deficiencias que presenta el proceso de concertación de contratos económicos en las entidades asesoradas por la Empresa Provincial de Consultoría Jurídica Cienfuegos (ASLEG), con el fin de proponer soluciones que integren la visión jurídica y la administración de negocios.</w:t>
      </w:r>
    </w:p>
    <w:p w14:paraId="A51A0B31">
      <w:pPr>
        <w:pStyle w:val="style0"/>
        <w:keepNext/>
        <w:spacing w:before="240" w:after="120" w:lineRule="auto" w:line="240"/>
        <w:rPr/>
      </w:pPr>
      <w:r>
        <w:rPr>
          <w:rFonts w:ascii="Arial" w:cs="Arial" w:eastAsia="Arial" w:hAnsi="Arial"/>
          <w:b/>
          <w:bCs/>
          <w:sz w:val="24"/>
          <w:szCs w:val="24"/>
        </w:rPr>
        <w:t>3. ENFOQUE TEÓRICO</w:t>
      </w:r>
    </w:p>
    <w:p w14:paraId="E89F5F47">
      <w:pPr>
        <w:pStyle w:val="style0"/>
        <w:spacing w:after="160" w:lineRule="auto" w:line="240"/>
        <w:ind w:firstLine="567"/>
        <w:jc w:val="both"/>
        <w:rPr/>
      </w:pPr>
      <w:r>
        <w:rPr>
          <w:rFonts w:ascii="Arial" w:cs="Arial" w:eastAsia="Arial" w:hAnsi="Arial"/>
          <w:sz w:val="24"/>
          <w:szCs w:val="24"/>
        </w:rPr>
        <w:t>El régimen cubano de contratación económica se regula desde 2012 en el Decreto-Ley No. 304 «De la Contratación Económica» y el Decreto No. 310 «De los Tipos de Contratos», que sustituyeron la dispersión normativa anterior y preservan al Código Civil como fuente supletoria. Este marco se ha completado con disposiciones dirigidas a las nuevas formas de gestión, entre ellas la Resolución 149/2024 del Ministerio de Economía y Planificación, sobre la contratación de las entidades estatales con actores económicos no estatales, y el Decreto-Ley 114/2025 sobre la asociación entre entidades estatales y no estatales.</w:t>
      </w:r>
    </w:p>
    <w:p w14:paraId="060D9D1F">
      <w:pPr>
        <w:pStyle w:val="style0"/>
        <w:spacing w:after="160" w:lineRule="auto" w:line="240"/>
        <w:ind w:firstLine="567"/>
        <w:jc w:val="both"/>
        <w:rPr/>
      </w:pPr>
      <w:r>
        <w:rPr>
          <w:rFonts w:ascii="Arial" w:cs="Arial" w:eastAsia="Arial" w:hAnsi="Arial"/>
          <w:sz w:val="24"/>
          <w:szCs w:val="24"/>
        </w:rPr>
        <w:t>El Decreto-Ley 304/12 define el contrato como el acto jurídico mediante el cual se crean, modifican o extinguen relaciones jurídico-económicas de naturaleza obligatoria, para la ejecución de una actividad productiva, comercial o de prestación de servicios. El contrato es, ante todo, un compromiso y la ley entre las partes, una matriz de intereses y conductas que exige confianza y responsabilidad, y cuya redacción no debe limitarse a transcribir lo dispuesto en la ley.</w:t>
      </w:r>
    </w:p>
    <w:p w14:paraId="1E062C70">
      <w:pPr>
        <w:pStyle w:val="style0"/>
        <w:spacing w:after="160" w:lineRule="auto" w:line="240"/>
        <w:ind w:firstLine="567"/>
        <w:jc w:val="both"/>
        <w:rPr/>
      </w:pPr>
      <w:r>
        <w:rPr>
          <w:rFonts w:ascii="Arial" w:cs="Arial" w:eastAsia="Arial" w:hAnsi="Arial"/>
          <w:sz w:val="24"/>
          <w:szCs w:val="24"/>
        </w:rPr>
        <w:t xml:space="preserve">La doctrina distingue tres momentos en la vida del contrato. La </w:t>
      </w:r>
      <w:r>
        <w:rPr>
          <w:rFonts w:ascii="Arial" w:cs="Arial" w:eastAsia="Arial" w:hAnsi="Arial"/>
          <w:b/>
          <w:bCs/>
          <w:sz w:val="24"/>
          <w:szCs w:val="24"/>
        </w:rPr>
        <w:t>generación o gestación</w:t>
      </w:r>
      <w:r>
        <w:rPr>
          <w:rFonts w:ascii="Arial" w:cs="Arial" w:eastAsia="Arial" w:hAnsi="Arial"/>
          <w:sz w:val="24"/>
          <w:szCs w:val="24"/>
        </w:rPr>
        <w:t xml:space="preserve"> comprende los tratos preliminares y los actos previos al consentimiento; en ella es determinante la calidad del dictamen legal y la participación de otros especialistas (economía, contabilidad, calidad). La </w:t>
      </w:r>
      <w:r>
        <w:rPr>
          <w:rFonts w:ascii="Arial" w:cs="Arial" w:eastAsia="Arial" w:hAnsi="Arial"/>
          <w:b/>
          <w:bCs/>
          <w:sz w:val="24"/>
          <w:szCs w:val="24"/>
        </w:rPr>
        <w:t>perfección</w:t>
      </w:r>
      <w:r>
        <w:rPr>
          <w:rFonts w:ascii="Arial" w:cs="Arial" w:eastAsia="Arial" w:hAnsi="Arial"/>
          <w:sz w:val="24"/>
          <w:szCs w:val="24"/>
        </w:rPr>
        <w:t xml:space="preserve"> se produce con el acuerdo de voluntades mediante la concurrencia de la oferta y la aceptación, momento en que se definen prestaciones, precios, plazos, garantías y formas de pago. La </w:t>
      </w:r>
      <w:r>
        <w:rPr>
          <w:rFonts w:ascii="Arial" w:cs="Arial" w:eastAsia="Arial" w:hAnsi="Arial"/>
          <w:b/>
          <w:bCs/>
          <w:sz w:val="24"/>
          <w:szCs w:val="24"/>
        </w:rPr>
        <w:t>ejecución</w:t>
      </w:r>
      <w:r>
        <w:rPr>
          <w:rFonts w:ascii="Arial" w:cs="Arial" w:eastAsia="Arial" w:hAnsi="Arial"/>
          <w:sz w:val="24"/>
          <w:szCs w:val="24"/>
        </w:rPr>
        <w:t xml:space="preserve"> comprende el cumplimiento de las obligaciones pactadas y es en ella donde se generan los incumplimientos que originan las reclamaciones comerciales.</w:t>
      </w:r>
    </w:p>
    <w:p w14:paraId="FE2F658E">
      <w:pPr>
        <w:pStyle w:val="style0"/>
        <w:spacing w:after="160" w:lineRule="auto" w:line="240"/>
        <w:ind w:firstLine="567"/>
        <w:jc w:val="both"/>
        <w:rPr/>
      </w:pPr>
      <w:r>
        <w:rPr>
          <w:rFonts w:ascii="Arial" w:cs="Arial" w:eastAsia="Arial" w:hAnsi="Arial"/>
          <w:sz w:val="24"/>
          <w:szCs w:val="24"/>
        </w:rPr>
        <w:t>Desde la administración de negocios, el proceso de contratación puede entenderse como un proceso de la cadena de valor de la entidad, con entradas, actividades encadenadas, responsables y salidas medibles. Ese enfoque permite aplicar herramientas de gestión —como la gestión por procesos, el análisis DAFO, la matriz de riesgos y los indicadores de gestión— para identificar en qué etapa se originan las deficiencias y darles seguimiento sistemático.</w:t>
      </w:r>
    </w:p>
    <w:p w14:paraId="0505832E">
      <w:pPr>
        <w:pStyle w:val="style0"/>
        <w:keepNext/>
        <w:spacing w:before="240" w:after="120" w:lineRule="auto" w:line="240"/>
        <w:rPr/>
      </w:pPr>
      <w:r>
        <w:rPr>
          <w:rFonts w:ascii="Arial" w:cs="Arial" w:eastAsia="Arial" w:hAnsi="Arial"/>
          <w:b/>
          <w:bCs/>
          <w:sz w:val="24"/>
          <w:szCs w:val="24"/>
        </w:rPr>
        <w:t>4. METODOLOGÍA</w:t>
      </w:r>
    </w:p>
    <w:p w14:paraId="59CC85CA">
      <w:pPr>
        <w:pStyle w:val="style0"/>
        <w:spacing w:after="160" w:lineRule="auto" w:line="240"/>
        <w:ind w:firstLine="567"/>
        <w:jc w:val="both"/>
        <w:rPr/>
      </w:pPr>
      <w:r>
        <w:rPr>
          <w:rFonts w:ascii="Arial" w:cs="Arial" w:eastAsia="Arial" w:hAnsi="Arial"/>
          <w:sz w:val="24"/>
          <w:szCs w:val="24"/>
        </w:rPr>
        <w:t>Se empleó un diseño metodológico mixto. Como métodos teóricos se utilizaron el analítico-sintético, para descomponer y valorar las categorías propias de la contratación económica y su relación con la administración de negocios, y el histórico-lógico, para el estudio de la evolución del régimen jurídico de la contratación en Cuba. Como métodos empíricos se emplearon el análisis documental de expedientes de contratación y proformas, entrevistas a directivos y asesores jurídicos de las entidades asesoradas, y la observación en Comités de Contratación. Se trabajó con una muestra de 331 entidades contratadas durante el período enero-julio de 2026, asesoradas por la Empresa Provincial de Consultoría Jurídica Cienfuegos (ASLEG), información que se cotejó con los datos aportados por la Dirección Provincial de Justicia sobre los juristas vinculados al asesoramiento jurídico en el territorio. Como herramientas de administración de negocios se aplicaron la gestión por procesos, el análisis DAFO y una matriz de riesgos contractuales, propuestas por l</w:t>
      </w:r>
      <w:r>
        <w:rPr>
          <w:rFonts w:ascii="Arial" w:cs="Arial" w:eastAsia="Arial" w:hAnsi="Arial"/>
          <w:sz w:val="24"/>
          <w:szCs w:val="24"/>
          <w:lang w:val="en-US"/>
        </w:rPr>
        <w:t>o</w:t>
      </w:r>
      <w:r>
        <w:rPr>
          <w:rFonts w:ascii="Arial" w:cs="Arial" w:eastAsia="Arial" w:hAnsi="Arial"/>
          <w:sz w:val="24"/>
          <w:szCs w:val="24"/>
        </w:rPr>
        <w:t>s autor</w:t>
      </w:r>
      <w:r>
        <w:rPr>
          <w:rFonts w:ascii="Arial" w:cs="Arial" w:eastAsia="Arial" w:hAnsi="Arial"/>
          <w:sz w:val="24"/>
          <w:szCs w:val="24"/>
          <w:lang w:val="en-US"/>
        </w:rPr>
        <w:t>e</w:t>
      </w:r>
      <w:r>
        <w:rPr>
          <w:rFonts w:ascii="Arial" w:cs="Arial" w:eastAsia="Arial" w:hAnsi="Arial"/>
          <w:sz w:val="24"/>
          <w:szCs w:val="24"/>
        </w:rPr>
        <w:t>s para el control sistemático del proceso.</w:t>
      </w:r>
    </w:p>
    <w:p w14:paraId="1A63407D">
      <w:pPr>
        <w:pStyle w:val="style0"/>
        <w:keepNext/>
        <w:spacing w:before="240" w:after="120" w:lineRule="auto" w:line="240"/>
        <w:rPr/>
      </w:pPr>
      <w:r>
        <w:rPr>
          <w:rFonts w:ascii="Arial" w:cs="Arial" w:eastAsia="Arial" w:hAnsi="Arial"/>
          <w:b/>
          <w:bCs/>
          <w:sz w:val="24"/>
          <w:szCs w:val="24"/>
        </w:rPr>
        <w:t>5. RESULTADOS</w:t>
      </w:r>
    </w:p>
    <w:p w14:paraId="6D96EC15">
      <w:pPr>
        <w:pStyle w:val="style0"/>
        <w:spacing w:after="160" w:lineRule="auto" w:line="240"/>
        <w:ind w:firstLine="567"/>
        <w:jc w:val="both"/>
        <w:rPr/>
      </w:pPr>
      <w:r>
        <w:rPr>
          <w:rFonts w:ascii="Arial" w:cs="Arial" w:eastAsia="Arial" w:hAnsi="Arial"/>
          <w:sz w:val="24"/>
          <w:szCs w:val="24"/>
        </w:rPr>
        <w:t>El análisis documental, las entrevistas y la observación en los Comités de Contratación permitieron identificar irregularidades en las tres fases del proceso: negociación, diseño y control de los contratos. En la fase de negociación, las entidades tienden a aceptar la proforma que envía la contraparte sin discutir sus cláusulas, no participan de forma conjunta todos los especialistas que deben intervenir (economistas, comerciales, contadores, técnicos y juristas), y el dictamen legal se trata en ocasiones como una formalidad más, sin que se le dé seguimiento a sus señalamientos.</w:t>
      </w:r>
    </w:p>
    <w:p w14:paraId="093A59F1">
      <w:pPr>
        <w:pStyle w:val="style0"/>
        <w:spacing w:after="160" w:lineRule="auto" w:line="240"/>
        <w:ind w:firstLine="567"/>
        <w:jc w:val="both"/>
        <w:rPr/>
      </w:pPr>
      <w:r>
        <w:rPr>
          <w:rFonts w:ascii="Arial" w:cs="Arial" w:eastAsia="Arial" w:hAnsi="Arial"/>
          <w:sz w:val="24"/>
          <w:szCs w:val="24"/>
        </w:rPr>
        <w:t>En la fase de diseño del contrato se identificaron cláusulas ambiguas que no definen con claridad el objeto, el precio, el plazo o el lugar de entrega; remisiones a anexos que no se adjuntan o carecen de los requisitos legales; y contratos suscritos por Unidades Empresariales de Base sin mención a la empresa a la que pertenecen ni al documento que faculta a su director para firmar. En la fase de control se constató falta de garantías para el cumplimiento de las obligaciones, ausencia del porcentaje y la frecuencia para el cálculo de los intereses moratorios y la sanción pecuniaria, y una desarticulación entre las áreas económica y jurídica, que dispersa las responsabilidades y limita una visión integral del contrato.</w:t>
      </w:r>
    </w:p>
    <w:p w14:paraId="5D98077E">
      <w:pPr>
        <w:pStyle w:val="style0"/>
        <w:spacing w:after="100" w:lineRule="auto" w:line="240"/>
        <w:jc w:val="center"/>
        <w:rPr/>
      </w:pPr>
      <w:r>
        <w:rPr>
          <w:rFonts w:ascii="Arial" w:cs="Arial" w:eastAsia="Arial" w:hAnsi="Arial"/>
          <w:b/>
          <w:bCs/>
          <w:sz w:val="24"/>
          <w:szCs w:val="22"/>
        </w:rPr>
        <w:t>Tabla 1. Irregularidades identificadas por fase del proceso y sistema de acciones propuesto.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600"/>
        <w:gridCol w:w="3760"/>
        <w:gridCol w:w="4000"/>
      </w:tblGrid>
      <w:tr w14:paraId="20C9EF89">
        <w:trPr>
          <w:tblHeader/>
        </w:trPr>
        <w:tc>
          <w:tcPr>
            <w:tcW w:w="1600" w:type="dxa"/>
            <w:tcBorders>
              <w:top w:val="single" w:sz="4" w:space="0" w:color="808080"/>
              <w:left w:val="single" w:sz="4" w:space="0" w:color="808080"/>
              <w:bottom w:val="single" w:sz="4" w:space="0" w:color="808080"/>
              <w:right w:val="single" w:sz="4" w:space="0" w:color="808080"/>
            </w:tcBorders>
            <w:shd w:val="clear" w:color="auto" w:fill="d9e2f3"/>
            <w:tcMar>
              <w:top w:w="40" w:type="dxa"/>
              <w:left w:w="80" w:type="dxa"/>
              <w:bottom w:w="40" w:type="dxa"/>
              <w:right w:w="80" w:type="dxa"/>
            </w:tcMar>
            <w:vAlign w:val="center"/>
          </w:tcPr>
          <w:p w14:paraId="D1289F85">
            <w:pPr>
              <w:pStyle w:val="style0"/>
              <w:spacing w:lineRule="auto" w:line="240"/>
              <w:jc w:val="left"/>
              <w:rPr/>
            </w:pPr>
            <w:r>
              <w:rPr>
                <w:rFonts w:ascii="Arial" w:cs="Arial" w:eastAsia="Arial" w:hAnsi="Arial"/>
                <w:b/>
                <w:bCs/>
                <w:sz w:val="24"/>
                <w:szCs w:val="20"/>
              </w:rPr>
              <w:t>Fase</w:t>
            </w:r>
          </w:p>
        </w:tc>
        <w:tc>
          <w:tcPr>
            <w:tcW w:w="3760" w:type="dxa"/>
            <w:tcBorders>
              <w:top w:val="single" w:sz="4" w:space="0" w:color="808080"/>
              <w:left w:val="single" w:sz="4" w:space="0" w:color="808080"/>
              <w:bottom w:val="single" w:sz="4" w:space="0" w:color="808080"/>
              <w:right w:val="single" w:sz="4" w:space="0" w:color="808080"/>
            </w:tcBorders>
            <w:shd w:val="clear" w:color="auto" w:fill="d9e2f3"/>
            <w:tcMar>
              <w:top w:w="40" w:type="dxa"/>
              <w:left w:w="80" w:type="dxa"/>
              <w:bottom w:w="40" w:type="dxa"/>
              <w:right w:w="80" w:type="dxa"/>
            </w:tcMar>
            <w:vAlign w:val="center"/>
          </w:tcPr>
          <w:p w14:paraId="076EDEE9">
            <w:pPr>
              <w:pStyle w:val="style0"/>
              <w:spacing w:lineRule="auto" w:line="240"/>
              <w:jc w:val="left"/>
              <w:rPr/>
            </w:pPr>
            <w:r>
              <w:rPr>
                <w:rFonts w:ascii="Arial" w:cs="Arial" w:eastAsia="Arial" w:hAnsi="Arial"/>
                <w:b/>
                <w:bCs/>
                <w:sz w:val="24"/>
                <w:szCs w:val="20"/>
              </w:rPr>
              <w:t>Irregularidad identificada</w:t>
            </w:r>
          </w:p>
        </w:tc>
        <w:tc>
          <w:tcPr>
            <w:tcW w:w="4000" w:type="dxa"/>
            <w:tcBorders>
              <w:top w:val="single" w:sz="4" w:space="0" w:color="808080"/>
              <w:left w:val="single" w:sz="4" w:space="0" w:color="808080"/>
              <w:bottom w:val="single" w:sz="4" w:space="0" w:color="808080"/>
              <w:right w:val="single" w:sz="4" w:space="0" w:color="808080"/>
            </w:tcBorders>
            <w:shd w:val="clear" w:color="auto" w:fill="d9e2f3"/>
            <w:tcMar>
              <w:top w:w="40" w:type="dxa"/>
              <w:left w:w="80" w:type="dxa"/>
              <w:bottom w:w="40" w:type="dxa"/>
              <w:right w:w="80" w:type="dxa"/>
            </w:tcMar>
            <w:vAlign w:val="center"/>
          </w:tcPr>
          <w:p w14:paraId="E6E95FCD">
            <w:pPr>
              <w:pStyle w:val="style0"/>
              <w:spacing w:lineRule="auto" w:line="240"/>
              <w:jc w:val="left"/>
              <w:rPr/>
            </w:pPr>
            <w:r>
              <w:rPr>
                <w:rFonts w:ascii="Arial" w:cs="Arial" w:eastAsia="Arial" w:hAnsi="Arial"/>
                <w:b/>
                <w:bCs/>
                <w:sz w:val="24"/>
                <w:szCs w:val="20"/>
              </w:rPr>
              <w:t>Acción propuesta</w:t>
            </w:r>
          </w:p>
        </w:tc>
      </w:tr>
      <w:tr w14:paraId="DDA813B5">
        <w:tblPrEx/>
        <w:trPr>
          <w:cantSplit/>
        </w:trPr>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A2D838A">
            <w:pPr>
              <w:pStyle w:val="style0"/>
              <w:spacing w:lineRule="auto" w:line="240"/>
              <w:jc w:val="left"/>
              <w:rPr/>
            </w:pPr>
            <w:r>
              <w:rPr>
                <w:rFonts w:ascii="Arial" w:cs="Arial" w:eastAsia="Arial" w:hAnsi="Arial"/>
                <w:b w:val="false"/>
                <w:bCs w:val="false"/>
                <w:sz w:val="24"/>
                <w:szCs w:val="20"/>
              </w:rPr>
              <w:t>Negociación</w:t>
            </w:r>
          </w:p>
        </w:tc>
        <w:tc>
          <w:tcPr>
            <w:tcW w:w="37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ACD81608">
            <w:pPr>
              <w:pStyle w:val="style0"/>
              <w:spacing w:lineRule="auto" w:line="240"/>
              <w:jc w:val="left"/>
              <w:rPr/>
            </w:pPr>
            <w:r>
              <w:rPr>
                <w:rFonts w:ascii="Arial" w:cs="Arial" w:eastAsia="Arial" w:hAnsi="Arial"/>
                <w:b w:val="false"/>
                <w:bCs w:val="false"/>
                <w:sz w:val="24"/>
                <w:szCs w:val="20"/>
              </w:rPr>
              <w:t>Aceptación de la proforma de la contraparte sin discusión de sus cláusulas; ausencia de especialistas de otras áreas</w:t>
            </w:r>
          </w:p>
        </w:tc>
        <w:tc>
          <w:tcPr>
            <w:tcW w:w="4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A39B716C">
            <w:pPr>
              <w:pStyle w:val="style0"/>
              <w:spacing w:lineRule="auto" w:line="240"/>
              <w:jc w:val="left"/>
              <w:rPr/>
            </w:pPr>
            <w:r>
              <w:rPr>
                <w:rFonts w:ascii="Arial" w:cs="Arial" w:eastAsia="Arial" w:hAnsi="Arial"/>
                <w:b w:val="false"/>
                <w:bCs w:val="false"/>
                <w:sz w:val="24"/>
                <w:szCs w:val="20"/>
              </w:rPr>
              <w:t>Reservar espacio formal para los tratos preliminares y documentar la negociación con criterios de economía, comercial y calidad</w:t>
            </w:r>
          </w:p>
        </w:tc>
      </w:tr>
      <w:tr w14:paraId="227C058F">
        <w:tblPrEx/>
        <w:trPr>
          <w:cantSplit/>
        </w:trPr>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B69348D">
            <w:pPr>
              <w:pStyle w:val="style0"/>
              <w:spacing w:lineRule="auto" w:line="240"/>
              <w:jc w:val="left"/>
              <w:rPr/>
            </w:pPr>
            <w:r>
              <w:rPr>
                <w:rFonts w:ascii="Arial" w:cs="Arial" w:eastAsia="Arial" w:hAnsi="Arial"/>
                <w:b w:val="false"/>
                <w:bCs w:val="false"/>
                <w:sz w:val="24"/>
                <w:szCs w:val="20"/>
              </w:rPr>
              <w:t>Diseño</w:t>
            </w:r>
          </w:p>
        </w:tc>
        <w:tc>
          <w:tcPr>
            <w:tcW w:w="37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D8F2438A">
            <w:pPr>
              <w:pStyle w:val="style0"/>
              <w:spacing w:lineRule="auto" w:line="240"/>
              <w:jc w:val="left"/>
              <w:rPr/>
            </w:pPr>
            <w:r>
              <w:rPr>
                <w:rFonts w:ascii="Arial" w:cs="Arial" w:eastAsia="Arial" w:hAnsi="Arial"/>
                <w:b w:val="false"/>
                <w:bCs w:val="false"/>
                <w:sz w:val="24"/>
                <w:szCs w:val="20"/>
              </w:rPr>
              <w:t>Cláusulas ambiguas de objeto, precio, plazo y lugar de entrega; anexos sin adjuntar o sin requisitos legales</w:t>
            </w:r>
          </w:p>
        </w:tc>
        <w:tc>
          <w:tcPr>
            <w:tcW w:w="4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A627A4">
            <w:pPr>
              <w:pStyle w:val="style0"/>
              <w:spacing w:lineRule="auto" w:line="240"/>
              <w:jc w:val="left"/>
              <w:rPr/>
            </w:pPr>
            <w:r>
              <w:rPr>
                <w:rFonts w:ascii="Arial" w:cs="Arial" w:eastAsia="Arial" w:hAnsi="Arial"/>
                <w:b w:val="false"/>
                <w:bCs w:val="false"/>
                <w:sz w:val="24"/>
                <w:szCs w:val="20"/>
              </w:rPr>
              <w:t>Aplicar una lista de chequeo de cláusulas esenciales antes de la firma</w:t>
            </w:r>
          </w:p>
        </w:tc>
      </w:tr>
      <w:tr w14:paraId="903D9D20">
        <w:tblPrEx/>
        <w:trPr>
          <w:cantSplit/>
        </w:trPr>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60872D5">
            <w:pPr>
              <w:pStyle w:val="style0"/>
              <w:spacing w:lineRule="auto" w:line="240"/>
              <w:jc w:val="left"/>
              <w:rPr/>
            </w:pPr>
            <w:r>
              <w:rPr>
                <w:rFonts w:ascii="Arial" w:cs="Arial" w:eastAsia="Arial" w:hAnsi="Arial"/>
                <w:b w:val="false"/>
                <w:bCs w:val="false"/>
                <w:sz w:val="24"/>
                <w:szCs w:val="20"/>
              </w:rPr>
              <w:t>Control</w:t>
            </w:r>
          </w:p>
        </w:tc>
        <w:tc>
          <w:tcPr>
            <w:tcW w:w="376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DF232F2">
            <w:pPr>
              <w:pStyle w:val="style0"/>
              <w:spacing w:lineRule="auto" w:line="240"/>
              <w:jc w:val="left"/>
              <w:rPr/>
            </w:pPr>
            <w:r>
              <w:rPr>
                <w:rFonts w:ascii="Arial" w:cs="Arial" w:eastAsia="Arial" w:hAnsi="Arial"/>
                <w:b w:val="false"/>
                <w:bCs w:val="false"/>
                <w:sz w:val="24"/>
                <w:szCs w:val="20"/>
              </w:rPr>
              <w:t>Falta de garantías e indefinición de los intereses moratorios y la sanción pecuniaria; desarticulación entre las áreas económica y jurídica</w:t>
            </w:r>
          </w:p>
        </w:tc>
        <w:tc>
          <w:tcPr>
            <w:tcW w:w="4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A3F4A11">
            <w:pPr>
              <w:pStyle w:val="style0"/>
              <w:spacing w:lineRule="auto" w:line="240"/>
              <w:jc w:val="left"/>
              <w:rPr/>
            </w:pPr>
            <w:r>
              <w:rPr>
                <w:rFonts w:ascii="Arial" w:cs="Arial" w:eastAsia="Arial" w:hAnsi="Arial"/>
                <w:b w:val="false"/>
                <w:bCs w:val="false"/>
                <w:sz w:val="24"/>
                <w:szCs w:val="20"/>
              </w:rPr>
              <w:t>Implantar un procedimiento interno de contratación por procesos, con responsables e indicadores de seguimiento</w:t>
            </w:r>
          </w:p>
        </w:tc>
      </w:tr>
    </w:tbl>
    <w:p w14:paraId="211C3C84">
      <w:pPr>
        <w:pStyle w:val="style0"/>
        <w:spacing w:after="200" w:lineRule="auto" w:line="240"/>
        <w:ind w:firstLine="567"/>
        <w:jc w:val="both"/>
        <w:rPr/>
      </w:pPr>
      <w:r>
        <w:rPr>
          <w:rFonts w:ascii="Arial" w:cs="Arial" w:eastAsia="Arial" w:hAnsi="Arial"/>
          <w:sz w:val="24"/>
          <w:szCs w:val="24"/>
        </w:rPr>
        <w:t>El diagnóstico se realizó bajo el régimen vigente del Decreto-Ley 304/2012 y sus normas complementarias durante el período enero-julio de 2026. El sistema de acciones propuesto en la Tabla 1 constituye una vía para fortalecer, desde la propia entidad, la disciplina contractual dentro de ese marco jurídico.</w:t>
      </w:r>
    </w:p>
    <w:p w14:paraId="473DDFAC">
      <w:pPr>
        <w:pStyle w:val="style0"/>
        <w:keepNext/>
        <w:spacing w:before="240" w:after="120" w:lineRule="auto" w:line="240"/>
        <w:rPr/>
      </w:pPr>
      <w:r>
        <w:rPr>
          <w:rFonts w:ascii="Arial" w:cs="Arial" w:eastAsia="Arial" w:hAnsi="Arial"/>
          <w:b/>
          <w:bCs/>
          <w:sz w:val="24"/>
          <w:szCs w:val="24"/>
        </w:rPr>
        <w:t>CONCLUSIONES</w:t>
      </w:r>
    </w:p>
    <w:p w14:paraId="71848805">
      <w:pPr>
        <w:pStyle w:val="style0"/>
        <w:spacing w:after="160" w:lineRule="auto" w:line="240"/>
        <w:ind w:firstLine="567"/>
        <w:jc w:val="both"/>
        <w:rPr/>
      </w:pPr>
      <w:r>
        <w:rPr>
          <w:rFonts w:ascii="Arial" w:cs="Arial" w:eastAsia="Arial" w:hAnsi="Arial"/>
          <w:sz w:val="24"/>
          <w:szCs w:val="24"/>
        </w:rPr>
        <w:t>El contrato económico continúa siendo el medio jurídico esencial para regular las relaciones económicas entre las entidades que operan en la economía nacional, pero su eficacia depende en gran medida de la calidad de la negociación previa, del rigor en el diseño de las cláusulas y de la integración entre las áreas económica y jurídica que participan en el proceso. El diagnóstico realizado sobre la muestra de 331 entidades asesoradas por la Empresa Provincial de Consultoría Jurídica Cienfuegos (ASLEG) en el período enero-julio de 2026 confirma irregularidades en las fases de negociación, diseño y control de los contratos, y evidencia la necesidad de un sistema de acciones que combine el rigor jurídico con herramientas de administración de negocios —gestión por procesos, análisis DAFO y matriz de riesgos— para fortalecer la responsabilidad contractual y elevar la eficiencia de la gestión empresarial en el territorio.</w:t>
      </w:r>
    </w:p>
    <w:p w14:paraId="2391AE8F">
      <w:pPr>
        <w:pStyle w:val="style0"/>
        <w:keepNext/>
        <w:spacing w:before="240" w:after="120" w:lineRule="auto" w:line="240"/>
        <w:rPr/>
      </w:pPr>
      <w:r>
        <w:rPr>
          <w:rFonts w:ascii="Arial" w:cs="Arial" w:eastAsia="Arial" w:hAnsi="Arial"/>
          <w:b/>
          <w:bCs/>
          <w:sz w:val="24"/>
          <w:szCs w:val="24"/>
        </w:rPr>
        <w:t>REFERENCIAS BIBLIOGRÁFICAS</w:t>
      </w:r>
    </w:p>
    <w:p w14:paraId="B1370345">
      <w:pPr>
        <w:pStyle w:val="style0"/>
        <w:spacing w:after="60" w:lineRule="auto" w:line="240"/>
        <w:ind w:left="567" w:hanging="567"/>
        <w:jc w:val="both"/>
        <w:rPr/>
      </w:pPr>
      <w:r>
        <w:rPr>
          <w:rFonts w:ascii="Arial" w:cs="Arial" w:eastAsia="Arial" w:hAnsi="Arial"/>
          <w:sz w:val="24"/>
          <w:szCs w:val="24"/>
        </w:rPr>
        <w:t>Cobo Roura, N. A. (1988). La contratación económica en las uniones de empresas. Revista Jurídica, (17).</w:t>
      </w:r>
    </w:p>
    <w:p w14:paraId="D9B961E7">
      <w:pPr>
        <w:pStyle w:val="style0"/>
        <w:spacing w:after="60" w:lineRule="auto" w:line="240"/>
        <w:ind w:left="567" w:hanging="567"/>
        <w:jc w:val="both"/>
        <w:rPr/>
      </w:pPr>
      <w:r>
        <w:rPr>
          <w:rFonts w:ascii="Arial" w:cs="Arial" w:eastAsia="Arial" w:hAnsi="Arial"/>
          <w:sz w:val="24"/>
          <w:szCs w:val="24"/>
        </w:rPr>
        <w:t>Consejo de Estado de la República de Cuba. (2012, 1 de noviembre). Decreto-Ley No. 304, De la Contratación Económica. Gaceta Oficial de la República de Cuba, Edición Ordinaria No. 62, del 27 de diciembre de 2012.</w:t>
      </w:r>
    </w:p>
    <w:p w14:paraId="7F0DD9D7">
      <w:pPr>
        <w:pStyle w:val="style0"/>
        <w:spacing w:after="60" w:lineRule="auto" w:line="240"/>
        <w:ind w:left="567" w:hanging="567"/>
        <w:jc w:val="both"/>
        <w:rPr/>
      </w:pPr>
      <w:r>
        <w:rPr>
          <w:rFonts w:ascii="Arial" w:cs="Arial" w:eastAsia="Arial" w:hAnsi="Arial"/>
          <w:sz w:val="24"/>
          <w:szCs w:val="24"/>
        </w:rPr>
        <w:t>Consejo de Estado de la República de Cuba. (2025, 10 de diciembre). Decreto-Ley No. 114, De la Asociación entre Entidades Empresariales Estatales y No Estatales. Gaceta Oficial de la República de Cuba, Edición Ordinaria No. 24, del 3 de marzo de 2026.</w:t>
      </w:r>
    </w:p>
    <w:p w14:paraId="1EC46A92">
      <w:pPr>
        <w:pStyle w:val="style0"/>
        <w:spacing w:after="60" w:lineRule="auto" w:line="240"/>
        <w:ind w:left="567" w:hanging="567"/>
        <w:jc w:val="both"/>
        <w:rPr/>
      </w:pPr>
      <w:r>
        <w:rPr>
          <w:rFonts w:ascii="Arial" w:cs="Arial" w:eastAsia="Arial" w:hAnsi="Arial"/>
          <w:sz w:val="24"/>
          <w:szCs w:val="24"/>
        </w:rPr>
        <w:t>Consejo de Ministros de la República de Cuba. (2012, 17 de diciembre). Decreto No. 310, De los Tipos de Contratos. Gaceta Oficial de la República de Cuba, Edición Ordinaria No. 62, del 27 de diciembre de 2012.</w:t>
      </w:r>
    </w:p>
    <w:p w14:paraId="13154758">
      <w:pPr>
        <w:pStyle w:val="style0"/>
        <w:spacing w:after="60" w:lineRule="auto" w:line="240"/>
        <w:ind w:left="567" w:hanging="567"/>
        <w:jc w:val="both"/>
        <w:rPr/>
      </w:pPr>
      <w:r>
        <w:rPr>
          <w:rFonts w:ascii="Arial" w:cs="Arial" w:eastAsia="Arial" w:hAnsi="Arial"/>
          <w:sz w:val="24"/>
          <w:szCs w:val="24"/>
        </w:rPr>
        <w:t>Delgado Vergara, T. (2000). El contrato como institución mixta y el contrato como institución central del ordenamiento jurídico. En L. B. Pérez Gallardo y N. Ojeda Rodríguez (Coords.), Lecturas de Derecho de Obligaciones y Contratos (pp. 142-160). Editorial Félix Varela.</w:t>
      </w:r>
    </w:p>
    <w:p w14:paraId="CEB5DF5E">
      <w:pPr>
        <w:pStyle w:val="style0"/>
        <w:spacing w:after="60" w:lineRule="auto" w:line="240"/>
        <w:ind w:left="567" w:hanging="567"/>
        <w:jc w:val="both"/>
        <w:rPr/>
      </w:pPr>
      <w:r>
        <w:rPr>
          <w:rFonts w:ascii="Arial" w:cs="Arial" w:eastAsia="Arial" w:hAnsi="Arial"/>
          <w:sz w:val="24"/>
          <w:szCs w:val="24"/>
        </w:rPr>
        <w:t>Ministerio de Economía y Planificación de la República de Cuba. (2024, 19 de agosto). Resolución No. 149, Aspectos de la contratación económica y procedimiento de licitación en las relaciones de entidades estatales con actores económicos no estatales. Gaceta Oficial de la República de Cuba, Edición Ordinaria No. 78.</w:t>
      </w:r>
    </w:p>
    <w:p w14:paraId="812089A0">
      <w:pPr>
        <w:pStyle w:val="style0"/>
        <w:spacing w:after="60" w:lineRule="auto" w:line="240"/>
        <w:ind w:left="567" w:hanging="567"/>
        <w:jc w:val="both"/>
        <w:rPr/>
      </w:pPr>
      <w:r>
        <w:rPr>
          <w:rFonts w:ascii="Arial" w:cs="Arial" w:eastAsia="Arial" w:hAnsi="Arial"/>
          <w:sz w:val="24"/>
          <w:szCs w:val="24"/>
        </w:rPr>
        <w:t>Partido Comunista de Cuba. (2021). Lineamientos de la Política Económica y Social del Partido y la Revolución para el período 2021-2026. Comité Central del Partido Comunista de Cuba.</w:t>
      </w:r>
    </w:p>
    <w:sectPr>
      <w:pgSz w:w="12240" w:h="15840" w:orient="portrait"/>
      <w:pgMar w:top="1417" w:right="1417" w:bottom="1417" w:left="1417"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0020204"/>
    <w:charset w:val="01"/>
    <w:family w:val="swiss"/>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4"/>
        <w:szCs w:val="24"/>
      </w:rPr>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69eaba0b-6539-4a3f-8488-a1264594d3f3"/>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1812</Words>
  <Characters>10399</Characters>
  <Application>WPS Office</Application>
  <Paragraphs>52</Paragraphs>
  <CharactersWithSpaces>12163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2026-10-07T13:08:07Z</dcterms:created>
  <dc:creator>Campos López; Rodríguez Fuentes</dc:creator>
  <lastModifiedBy>SM-A146U</lastModifiedBy>
  <dcterms:modified xsi:type="dcterms:W3CDTF">2026-10-07T22:51:00Z</dcterms:modified>
  <revision>1</revision>
  <dc:title>La contratación económica en ASLEG Cienfuegos: diagnóstico y propuestas - IV Convención Científica Internacional 2026</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0d94a47220ec4191b5511ec9318750d3</vt:lpwstr>
  </property>
</Properties>
</file>