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EB2" w:rsidRPr="00030EB2" w:rsidRDefault="00030EB2" w:rsidP="00030EB2">
      <w:pPr>
        <w:spacing w:after="0" w:line="240" w:lineRule="auto"/>
        <w:jc w:val="both"/>
        <w:rPr>
          <w:rFonts w:ascii="Arial" w:hAnsi="Arial" w:cs="Arial"/>
          <w:b/>
          <w:sz w:val="24"/>
          <w:szCs w:val="24"/>
          <w:lang w:val="es-ES"/>
        </w:rPr>
      </w:pPr>
      <w:r w:rsidRPr="00030EB2">
        <w:rPr>
          <w:rFonts w:ascii="Arial" w:hAnsi="Arial" w:cs="Arial"/>
          <w:b/>
          <w:sz w:val="24"/>
          <w:szCs w:val="24"/>
          <w:lang w:val="es-ES"/>
        </w:rPr>
        <w:t>LA VALUACIÓN DE ACTIVOS INTANGIBLES COMO UNA HERRAMIENTA ESTRATÉGICA DE FORTALECIMIENTO PARA LA EMPRESA CÁRNICOS SAN ANTÓN S.R.L.</w:t>
      </w:r>
    </w:p>
    <w:p w:rsidR="00030EB2" w:rsidRPr="00030EB2" w:rsidRDefault="00030EB2" w:rsidP="00030EB2">
      <w:pPr>
        <w:spacing w:after="0"/>
        <w:jc w:val="center"/>
        <w:rPr>
          <w:rFonts w:ascii="Arial" w:eastAsia="Arial" w:hAnsi="Arial" w:cs="Arial"/>
          <w:sz w:val="16"/>
          <w:szCs w:val="16"/>
          <w:lang w:val="es-ES"/>
        </w:rPr>
      </w:pPr>
    </w:p>
    <w:p w:rsidR="00030EB2" w:rsidRDefault="00030EB2" w:rsidP="00030EB2">
      <w:pPr>
        <w:spacing w:after="0"/>
        <w:jc w:val="center"/>
        <w:rPr>
          <w:rFonts w:ascii="Arial" w:eastAsia="Arial" w:hAnsi="Arial" w:cs="Arial"/>
          <w:sz w:val="24"/>
          <w:szCs w:val="24"/>
          <w:lang w:val="es-ES"/>
        </w:rPr>
      </w:pPr>
      <w:r w:rsidRPr="002A6FA7">
        <w:rPr>
          <w:rFonts w:ascii="Arial" w:eastAsia="Arial" w:hAnsi="Arial" w:cs="Arial"/>
          <w:b/>
          <w:sz w:val="24"/>
          <w:szCs w:val="24"/>
          <w:lang w:val="es-ES"/>
        </w:rPr>
        <w:t>Eje temático:</w:t>
      </w:r>
      <w:r w:rsidRPr="00030EB2">
        <w:rPr>
          <w:rFonts w:ascii="Arial" w:eastAsia="Arial" w:hAnsi="Arial" w:cs="Arial"/>
          <w:sz w:val="24"/>
          <w:szCs w:val="24"/>
          <w:lang w:val="es-ES"/>
        </w:rPr>
        <w:t xml:space="preserve"> </w:t>
      </w:r>
      <w:r w:rsidR="00825876">
        <w:rPr>
          <w:rFonts w:ascii="Arial" w:eastAsia="Arial" w:hAnsi="Arial" w:cs="Arial"/>
          <w:sz w:val="24"/>
          <w:szCs w:val="24"/>
          <w:lang w:val="es-ES"/>
        </w:rPr>
        <w:t>Estrategia y calidad en la competitividad.</w:t>
      </w:r>
    </w:p>
    <w:p w:rsidR="00030EB2" w:rsidRPr="00030EB2" w:rsidRDefault="00030EB2" w:rsidP="00030EB2">
      <w:pPr>
        <w:spacing w:after="0"/>
        <w:jc w:val="center"/>
        <w:rPr>
          <w:lang w:val="es-ES"/>
        </w:rPr>
      </w:pPr>
    </w:p>
    <w:p w:rsidR="00030EB2" w:rsidRPr="00030EB2" w:rsidRDefault="00030EB2" w:rsidP="00030EB2">
      <w:pPr>
        <w:spacing w:after="0"/>
        <w:jc w:val="both"/>
        <w:rPr>
          <w:lang w:val="es-ES"/>
        </w:rPr>
      </w:pPr>
      <w:r>
        <w:rPr>
          <w:rFonts w:ascii="Arial" w:eastAsia="Arial" w:hAnsi="Arial" w:cs="Arial"/>
          <w:b/>
          <w:bCs/>
          <w:sz w:val="24"/>
          <w:szCs w:val="24"/>
          <w:lang w:val="es-ES"/>
        </w:rPr>
        <w:t>Autor</w:t>
      </w:r>
      <w:r w:rsidRPr="00030EB2">
        <w:rPr>
          <w:rFonts w:ascii="Arial" w:eastAsia="Arial" w:hAnsi="Arial" w:cs="Arial"/>
          <w:b/>
          <w:bCs/>
          <w:sz w:val="24"/>
          <w:szCs w:val="24"/>
          <w:lang w:val="es-ES"/>
        </w:rPr>
        <w:t>:</w:t>
      </w:r>
      <w:r>
        <w:rPr>
          <w:lang w:val="es-ES"/>
        </w:rPr>
        <w:t xml:space="preserve"> </w:t>
      </w:r>
      <w:r w:rsidRPr="00030EB2">
        <w:rPr>
          <w:rFonts w:ascii="Arial" w:eastAsia="Arial" w:hAnsi="Arial" w:cs="Arial"/>
          <w:sz w:val="24"/>
          <w:szCs w:val="24"/>
          <w:lang w:val="es-ES"/>
        </w:rPr>
        <w:t xml:space="preserve">Lic. </w:t>
      </w:r>
      <w:proofErr w:type="spellStart"/>
      <w:r w:rsidRPr="00030EB2">
        <w:rPr>
          <w:rFonts w:ascii="Arial" w:eastAsia="Arial" w:hAnsi="Arial" w:cs="Arial"/>
          <w:sz w:val="24"/>
          <w:szCs w:val="24"/>
          <w:lang w:val="es-ES"/>
        </w:rPr>
        <w:t>Yaniel</w:t>
      </w:r>
      <w:proofErr w:type="spellEnd"/>
      <w:r w:rsidRPr="00030EB2">
        <w:rPr>
          <w:rFonts w:ascii="Arial" w:eastAsia="Arial" w:hAnsi="Arial" w:cs="Arial"/>
          <w:sz w:val="24"/>
          <w:szCs w:val="24"/>
          <w:lang w:val="es-ES"/>
        </w:rPr>
        <w:t xml:space="preserve"> Rodríguez Fuentes. Empresa Provincial de Consultoría Jurídica Cienfuegos (ASLEG). Teléfono: 52632782. Correo electrónico: yanielrfuentes@nauta.cu.</w:t>
      </w:r>
    </w:p>
    <w:p w:rsidR="00030EB2" w:rsidRDefault="00030EB2" w:rsidP="00030EB2">
      <w:pPr>
        <w:spacing w:after="0" w:line="240" w:lineRule="auto"/>
        <w:jc w:val="both"/>
        <w:rPr>
          <w:rFonts w:ascii="Arial" w:hAnsi="Arial" w:cs="Arial"/>
          <w:sz w:val="24"/>
          <w:szCs w:val="24"/>
          <w:lang w:val="es-ES"/>
        </w:rPr>
      </w:pPr>
    </w:p>
    <w:p w:rsidR="00DC087E" w:rsidRPr="00030EB2" w:rsidRDefault="00030EB2" w:rsidP="00030EB2">
      <w:pPr>
        <w:spacing w:after="0" w:line="240" w:lineRule="auto"/>
        <w:jc w:val="both"/>
        <w:rPr>
          <w:rFonts w:ascii="Arial" w:hAnsi="Arial" w:cs="Arial"/>
          <w:b/>
          <w:sz w:val="24"/>
          <w:szCs w:val="24"/>
          <w:lang w:val="es-ES"/>
        </w:rPr>
      </w:pPr>
      <w:r w:rsidRPr="00030EB2">
        <w:rPr>
          <w:rFonts w:ascii="Arial" w:hAnsi="Arial" w:cs="Arial"/>
          <w:b/>
          <w:sz w:val="24"/>
          <w:szCs w:val="24"/>
          <w:lang w:val="es-ES"/>
        </w:rPr>
        <w:t>Resumen</w:t>
      </w: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sz w:val="24"/>
          <w:szCs w:val="24"/>
          <w:lang w:val="es-ES"/>
        </w:rPr>
        <w:t xml:space="preserve">La presente ponencia aborda la importancia de la valuación de activos intangibles como herramienta estratégica para el fortalecimiento de la empresa Cárnicos San Antón S.R.L., en el contexto empresarial cubano. Se parte de la premisa de que los intangibles —marca, reputación, capital humano y </w:t>
      </w:r>
      <w:proofErr w:type="spellStart"/>
      <w:r w:rsidRPr="00030EB2">
        <w:rPr>
          <w:rFonts w:ascii="Arial" w:hAnsi="Arial" w:cs="Arial"/>
          <w:sz w:val="24"/>
          <w:szCs w:val="24"/>
          <w:lang w:val="es-ES"/>
        </w:rPr>
        <w:t>know-how</w:t>
      </w:r>
      <w:proofErr w:type="spellEnd"/>
      <w:r w:rsidRPr="00030EB2">
        <w:rPr>
          <w:rFonts w:ascii="Arial" w:hAnsi="Arial" w:cs="Arial"/>
          <w:sz w:val="24"/>
          <w:szCs w:val="24"/>
          <w:lang w:val="es-ES"/>
        </w:rPr>
        <w:t xml:space="preserve">— constituyen factores determinantes de competitividad y acceso </w:t>
      </w:r>
      <w:proofErr w:type="spellStart"/>
      <w:r w:rsidRPr="00030EB2">
        <w:rPr>
          <w:rFonts w:ascii="Arial" w:hAnsi="Arial" w:cs="Arial"/>
          <w:sz w:val="24"/>
          <w:szCs w:val="24"/>
          <w:lang w:val="es-ES"/>
        </w:rPr>
        <w:t>a</w:t>
      </w:r>
      <w:proofErr w:type="spellEnd"/>
      <w:r w:rsidRPr="00030EB2">
        <w:rPr>
          <w:rFonts w:ascii="Arial" w:hAnsi="Arial" w:cs="Arial"/>
          <w:sz w:val="24"/>
          <w:szCs w:val="24"/>
          <w:lang w:val="es-ES"/>
        </w:rPr>
        <w:t xml:space="preserve"> financiamiento, aunque su reconocimiento formal en los estados financieros se encuentra limitado por las normativas nacionales.</w:t>
      </w:r>
      <w:r w:rsidR="00030EB2">
        <w:rPr>
          <w:rFonts w:ascii="Arial" w:hAnsi="Arial" w:cs="Arial"/>
          <w:sz w:val="24"/>
          <w:szCs w:val="24"/>
          <w:lang w:val="es-ES"/>
        </w:rPr>
        <w:t xml:space="preserve"> </w:t>
      </w:r>
      <w:r w:rsidRPr="00030EB2">
        <w:rPr>
          <w:rFonts w:ascii="Arial" w:hAnsi="Arial" w:cs="Arial"/>
          <w:sz w:val="24"/>
          <w:szCs w:val="24"/>
          <w:lang w:val="es-ES"/>
        </w:rPr>
        <w:t>El estudio combina un enfoque teórico basado en normas jurídicas internacionales y cubanas, con una metodología mixta que integra análisis estadístico de indicadores financieros y entrevistas a directivos y especialistas de empresa</w:t>
      </w:r>
      <w:r w:rsidR="00D352E0">
        <w:rPr>
          <w:rFonts w:ascii="Arial" w:hAnsi="Arial" w:cs="Arial"/>
          <w:sz w:val="24"/>
          <w:szCs w:val="24"/>
          <w:lang w:val="es-ES"/>
        </w:rPr>
        <w:t>s afines</w:t>
      </w:r>
      <w:r w:rsidRPr="00030EB2">
        <w:rPr>
          <w:rFonts w:ascii="Arial" w:hAnsi="Arial" w:cs="Arial"/>
          <w:sz w:val="24"/>
          <w:szCs w:val="24"/>
          <w:lang w:val="es-ES"/>
        </w:rPr>
        <w:t>. Los resultados evidencian que la reputación de la marca y la fidelización de clientes aportan un valor económico significativo, aunque difícil de cuantificar bajo los marcos regulatorios vigentes.</w:t>
      </w:r>
      <w:r w:rsidR="00030EB2">
        <w:rPr>
          <w:rFonts w:ascii="Arial" w:hAnsi="Arial" w:cs="Arial"/>
          <w:sz w:val="24"/>
          <w:szCs w:val="24"/>
          <w:lang w:val="es-ES"/>
        </w:rPr>
        <w:t xml:space="preserve"> </w:t>
      </w:r>
      <w:r w:rsidRPr="00030EB2">
        <w:rPr>
          <w:rFonts w:ascii="Arial" w:hAnsi="Arial" w:cs="Arial"/>
          <w:sz w:val="24"/>
          <w:szCs w:val="24"/>
          <w:lang w:val="es-ES"/>
        </w:rPr>
        <w:t xml:space="preserve">Se identifican dificultades como la ausencia de comparables de mercado, la </w:t>
      </w:r>
      <w:proofErr w:type="gramStart"/>
      <w:r w:rsidRPr="00030EB2">
        <w:rPr>
          <w:rFonts w:ascii="Arial" w:hAnsi="Arial" w:cs="Arial"/>
          <w:sz w:val="24"/>
          <w:szCs w:val="24"/>
          <w:lang w:val="es-ES"/>
        </w:rPr>
        <w:t>subjetividad</w:t>
      </w:r>
      <w:proofErr w:type="gramEnd"/>
      <w:r w:rsidRPr="00030EB2">
        <w:rPr>
          <w:rFonts w:ascii="Arial" w:hAnsi="Arial" w:cs="Arial"/>
          <w:sz w:val="24"/>
          <w:szCs w:val="24"/>
          <w:lang w:val="es-ES"/>
        </w:rPr>
        <w:t xml:space="preserve"> en la estimación de la reputación y la falta de lineamientos claros en la normativa cubana. Sin embargo, se demuestra que la aplicación de métodos de ingresos y la triangulación con evidencia cualitativa permiten construir una valoración más robusta.</w:t>
      </w:r>
      <w:r w:rsidR="00030EB2">
        <w:rPr>
          <w:rFonts w:ascii="Arial" w:hAnsi="Arial" w:cs="Arial"/>
          <w:sz w:val="24"/>
          <w:szCs w:val="24"/>
          <w:lang w:val="es-ES"/>
        </w:rPr>
        <w:t xml:space="preserve"> </w:t>
      </w:r>
      <w:r w:rsidRPr="00030EB2">
        <w:rPr>
          <w:rFonts w:ascii="Arial" w:hAnsi="Arial" w:cs="Arial"/>
          <w:sz w:val="24"/>
          <w:szCs w:val="24"/>
          <w:lang w:val="es-ES"/>
        </w:rPr>
        <w:t>La ponencia concluye que la valuación de intangibles no solo fortalece la posición estratégica de Cárnicos San Antón S.R.L., sino que también constituye un instrumento clave para atraer inversión, mejorar la transparencia financiera y consolidar ventajas competitivas en el mercado nacional e internacional</w:t>
      </w:r>
      <w:r w:rsidR="002C5216">
        <w:rPr>
          <w:rFonts w:ascii="Arial" w:hAnsi="Arial" w:cs="Arial"/>
          <w:sz w:val="24"/>
          <w:szCs w:val="24"/>
          <w:lang w:val="es-ES"/>
        </w:rPr>
        <w:t>, pero se necesita un método de valuación más integrador</w:t>
      </w:r>
      <w:r w:rsidRPr="00030EB2">
        <w:rPr>
          <w:rFonts w:ascii="Arial" w:hAnsi="Arial" w:cs="Arial"/>
          <w:sz w:val="24"/>
          <w:szCs w:val="24"/>
          <w:lang w:val="es-ES"/>
        </w:rPr>
        <w:t>.</w:t>
      </w:r>
    </w:p>
    <w:p w:rsidR="001D6455" w:rsidRDefault="001D6455" w:rsidP="00030EB2">
      <w:pPr>
        <w:spacing w:after="0" w:line="240" w:lineRule="auto"/>
        <w:jc w:val="both"/>
        <w:rPr>
          <w:rFonts w:ascii="Arial" w:hAnsi="Arial" w:cs="Arial"/>
          <w:b/>
          <w:sz w:val="24"/>
          <w:szCs w:val="24"/>
          <w:lang w:val="es-ES"/>
        </w:rPr>
      </w:pPr>
    </w:p>
    <w:p w:rsidR="00DC087E" w:rsidRPr="00030EB2" w:rsidRDefault="00E0504C" w:rsidP="00030EB2">
      <w:pPr>
        <w:spacing w:after="0" w:line="240" w:lineRule="auto"/>
        <w:jc w:val="both"/>
        <w:rPr>
          <w:rFonts w:ascii="Arial" w:hAnsi="Arial" w:cs="Arial"/>
          <w:b/>
          <w:sz w:val="24"/>
          <w:szCs w:val="24"/>
          <w:lang w:val="es-ES"/>
        </w:rPr>
      </w:pPr>
      <w:r w:rsidRPr="00030EB2">
        <w:rPr>
          <w:rFonts w:ascii="Arial" w:hAnsi="Arial" w:cs="Arial"/>
          <w:b/>
          <w:sz w:val="24"/>
          <w:szCs w:val="24"/>
          <w:lang w:val="es-ES"/>
        </w:rPr>
        <w:t>Palabras clave</w:t>
      </w: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sz w:val="24"/>
          <w:szCs w:val="24"/>
          <w:lang w:val="es-ES"/>
        </w:rPr>
        <w:t>Activos intangibles</w:t>
      </w:r>
      <w:r w:rsidR="00030EB2">
        <w:rPr>
          <w:rFonts w:ascii="Arial" w:hAnsi="Arial" w:cs="Arial"/>
          <w:sz w:val="24"/>
          <w:szCs w:val="24"/>
          <w:lang w:val="es-ES"/>
        </w:rPr>
        <w:t xml:space="preserve">, </w:t>
      </w:r>
      <w:r w:rsidRPr="00030EB2">
        <w:rPr>
          <w:rFonts w:ascii="Arial" w:hAnsi="Arial" w:cs="Arial"/>
          <w:sz w:val="24"/>
          <w:szCs w:val="24"/>
          <w:lang w:val="es-ES"/>
        </w:rPr>
        <w:t>Valuación</w:t>
      </w:r>
      <w:r w:rsidR="00030EB2">
        <w:rPr>
          <w:rFonts w:ascii="Arial" w:hAnsi="Arial" w:cs="Arial"/>
          <w:sz w:val="24"/>
          <w:szCs w:val="24"/>
          <w:lang w:val="es-ES"/>
        </w:rPr>
        <w:t>,</w:t>
      </w:r>
      <w:r w:rsidRPr="00030EB2">
        <w:rPr>
          <w:rFonts w:ascii="Arial" w:hAnsi="Arial" w:cs="Arial"/>
          <w:sz w:val="24"/>
          <w:szCs w:val="24"/>
          <w:lang w:val="es-ES"/>
        </w:rPr>
        <w:t xml:space="preserve"> Reputación de marca</w:t>
      </w:r>
      <w:r w:rsidR="00030EB2">
        <w:rPr>
          <w:rFonts w:ascii="Arial" w:hAnsi="Arial" w:cs="Arial"/>
          <w:sz w:val="24"/>
          <w:szCs w:val="24"/>
          <w:lang w:val="es-ES"/>
        </w:rPr>
        <w:t xml:space="preserve">, </w:t>
      </w:r>
      <w:r w:rsidRPr="00030EB2">
        <w:rPr>
          <w:rFonts w:ascii="Arial" w:hAnsi="Arial" w:cs="Arial"/>
          <w:sz w:val="24"/>
          <w:szCs w:val="24"/>
          <w:lang w:val="es-ES"/>
        </w:rPr>
        <w:t>Normativa contable</w:t>
      </w:r>
      <w:r w:rsidR="00030EB2">
        <w:rPr>
          <w:rFonts w:ascii="Arial" w:hAnsi="Arial" w:cs="Arial"/>
          <w:sz w:val="24"/>
          <w:szCs w:val="24"/>
          <w:lang w:val="es-ES"/>
        </w:rPr>
        <w:t>,</w:t>
      </w:r>
      <w:r w:rsidRPr="00030EB2">
        <w:rPr>
          <w:rFonts w:ascii="Arial" w:hAnsi="Arial" w:cs="Arial"/>
          <w:sz w:val="24"/>
          <w:szCs w:val="24"/>
          <w:lang w:val="es-ES"/>
        </w:rPr>
        <w:t xml:space="preserve"> Metodología mixta</w:t>
      </w:r>
    </w:p>
    <w:p w:rsidR="001D6455" w:rsidRDefault="001D6455" w:rsidP="00030EB2">
      <w:pPr>
        <w:spacing w:after="0" w:line="240" w:lineRule="auto"/>
        <w:jc w:val="both"/>
        <w:rPr>
          <w:rFonts w:ascii="Arial" w:hAnsi="Arial" w:cs="Arial"/>
          <w:b/>
          <w:sz w:val="24"/>
          <w:szCs w:val="24"/>
          <w:lang w:val="es-ES"/>
        </w:rPr>
      </w:pPr>
    </w:p>
    <w:p w:rsidR="00DC087E" w:rsidRPr="00030EB2" w:rsidRDefault="00E0504C" w:rsidP="00030EB2">
      <w:pPr>
        <w:spacing w:after="0" w:line="240" w:lineRule="auto"/>
        <w:jc w:val="both"/>
        <w:rPr>
          <w:rFonts w:ascii="Arial" w:hAnsi="Arial" w:cs="Arial"/>
          <w:b/>
          <w:sz w:val="24"/>
          <w:szCs w:val="24"/>
          <w:lang w:val="es-ES"/>
        </w:rPr>
      </w:pPr>
      <w:r w:rsidRPr="00030EB2">
        <w:rPr>
          <w:rFonts w:ascii="Arial" w:hAnsi="Arial" w:cs="Arial"/>
          <w:b/>
          <w:sz w:val="24"/>
          <w:szCs w:val="24"/>
          <w:lang w:val="es-ES"/>
        </w:rPr>
        <w:t>Justificación</w:t>
      </w: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sz w:val="24"/>
          <w:szCs w:val="24"/>
          <w:lang w:val="es-ES"/>
        </w:rPr>
        <w:t xml:space="preserve">La empresa Cárnicos San Antón S.R.L. enfrenta un entorno competitivo donde los activos físicos no reflejan completamente su potencial económico. La adecuada valuación de intangibles permite mostrar el verdadero valor de la organización, fortalecer su reputación y facilitar el acceso </w:t>
      </w:r>
      <w:proofErr w:type="spellStart"/>
      <w:r w:rsidRPr="00030EB2">
        <w:rPr>
          <w:rFonts w:ascii="Arial" w:hAnsi="Arial" w:cs="Arial"/>
          <w:sz w:val="24"/>
          <w:szCs w:val="24"/>
          <w:lang w:val="es-ES"/>
        </w:rPr>
        <w:t>a</w:t>
      </w:r>
      <w:proofErr w:type="spellEnd"/>
      <w:r w:rsidRPr="00030EB2">
        <w:rPr>
          <w:rFonts w:ascii="Arial" w:hAnsi="Arial" w:cs="Arial"/>
          <w:sz w:val="24"/>
          <w:szCs w:val="24"/>
          <w:lang w:val="es-ES"/>
        </w:rPr>
        <w:t xml:space="preserve"> financiamiento.</w:t>
      </w:r>
      <w:r w:rsidR="004C75E9">
        <w:rPr>
          <w:rFonts w:ascii="Arial" w:hAnsi="Arial" w:cs="Arial"/>
          <w:sz w:val="24"/>
          <w:szCs w:val="24"/>
          <w:lang w:val="es-ES"/>
        </w:rPr>
        <w:t xml:space="preserve"> N</w:t>
      </w:r>
      <w:r w:rsidR="004C75E9" w:rsidRPr="00B972FE">
        <w:rPr>
          <w:rFonts w:ascii="Arial" w:hAnsi="Arial" w:cs="Arial"/>
          <w:sz w:val="24"/>
          <w:szCs w:val="24"/>
          <w:lang w:val="es-ES_tradnl"/>
        </w:rPr>
        <w:t>o se cuenta con un estándar de val</w:t>
      </w:r>
      <w:r w:rsidR="004C75E9">
        <w:rPr>
          <w:rFonts w:ascii="Arial" w:hAnsi="Arial" w:cs="Arial"/>
          <w:sz w:val="24"/>
          <w:szCs w:val="24"/>
          <w:lang w:val="es-ES_tradnl"/>
        </w:rPr>
        <w:t>ora</w:t>
      </w:r>
      <w:r w:rsidR="004C75E9" w:rsidRPr="00B972FE">
        <w:rPr>
          <w:rFonts w:ascii="Arial" w:hAnsi="Arial" w:cs="Arial"/>
          <w:sz w:val="24"/>
          <w:szCs w:val="24"/>
          <w:lang w:val="es-ES_tradnl"/>
        </w:rPr>
        <w:t>ción</w:t>
      </w:r>
      <w:r w:rsidR="004C75E9">
        <w:rPr>
          <w:rFonts w:ascii="Arial" w:hAnsi="Arial" w:cs="Arial"/>
          <w:sz w:val="24"/>
          <w:szCs w:val="24"/>
          <w:lang w:val="es-ES_tradnl"/>
        </w:rPr>
        <w:t xml:space="preserve"> económica</w:t>
      </w:r>
      <w:r w:rsidR="004C75E9" w:rsidRPr="00B972FE">
        <w:rPr>
          <w:rFonts w:ascii="Arial" w:hAnsi="Arial" w:cs="Arial"/>
          <w:sz w:val="24"/>
          <w:szCs w:val="24"/>
          <w:lang w:val="es-ES_tradnl"/>
        </w:rPr>
        <w:t xml:space="preserve"> que incluya elementos como la condensación de la reputación de la marca, por ejemplo</w:t>
      </w:r>
      <w:r w:rsidR="004C75E9">
        <w:rPr>
          <w:rFonts w:ascii="Arial" w:hAnsi="Arial" w:cs="Arial"/>
          <w:sz w:val="24"/>
          <w:szCs w:val="24"/>
          <w:lang w:val="es-ES_tradnl"/>
        </w:rPr>
        <w:t>.</w:t>
      </w:r>
    </w:p>
    <w:p w:rsidR="001D6455" w:rsidRDefault="001D6455" w:rsidP="00030EB2">
      <w:pPr>
        <w:spacing w:after="0" w:line="240" w:lineRule="auto"/>
        <w:jc w:val="both"/>
        <w:rPr>
          <w:rFonts w:ascii="Arial" w:hAnsi="Arial" w:cs="Arial"/>
          <w:b/>
          <w:sz w:val="24"/>
          <w:szCs w:val="24"/>
          <w:lang w:val="es-ES"/>
        </w:rPr>
      </w:pP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b/>
          <w:sz w:val="24"/>
          <w:szCs w:val="24"/>
          <w:lang w:val="es-ES"/>
        </w:rPr>
        <w:t>Objetivo general</w:t>
      </w:r>
      <w:r w:rsidR="00030EB2" w:rsidRPr="00030EB2">
        <w:rPr>
          <w:rFonts w:ascii="Arial" w:hAnsi="Arial" w:cs="Arial"/>
          <w:b/>
          <w:sz w:val="24"/>
          <w:szCs w:val="24"/>
          <w:lang w:val="es-ES"/>
        </w:rPr>
        <w:t>:</w:t>
      </w:r>
      <w:r w:rsidR="00030EB2">
        <w:rPr>
          <w:rFonts w:ascii="Arial" w:hAnsi="Arial" w:cs="Arial"/>
          <w:sz w:val="24"/>
          <w:szCs w:val="24"/>
          <w:lang w:val="es-ES"/>
        </w:rPr>
        <w:t xml:space="preserve"> </w:t>
      </w:r>
      <w:r w:rsidRPr="00030EB2">
        <w:rPr>
          <w:rFonts w:ascii="Arial" w:hAnsi="Arial" w:cs="Arial"/>
          <w:sz w:val="24"/>
          <w:szCs w:val="24"/>
          <w:lang w:val="es-ES"/>
        </w:rPr>
        <w:t>Analizar la valuación de activos intangibles como herramienta estratégica de fortalecimiento empresarial en Cárnicos San Antón S.R.L., considerando las dificultades normativas y metodológicas presentes en el contexto cubano.</w:t>
      </w:r>
    </w:p>
    <w:p w:rsidR="00BF38FA" w:rsidRDefault="00BF38FA" w:rsidP="00030EB2">
      <w:pPr>
        <w:spacing w:after="0" w:line="240" w:lineRule="auto"/>
        <w:jc w:val="both"/>
        <w:rPr>
          <w:rFonts w:ascii="Arial" w:hAnsi="Arial" w:cs="Arial"/>
          <w:b/>
          <w:sz w:val="24"/>
          <w:szCs w:val="24"/>
          <w:lang w:val="es-ES"/>
        </w:rPr>
      </w:pPr>
    </w:p>
    <w:p w:rsidR="00BF38FA" w:rsidRDefault="00E0504C" w:rsidP="00BF38FA">
      <w:pPr>
        <w:spacing w:line="240" w:lineRule="auto"/>
        <w:jc w:val="both"/>
        <w:rPr>
          <w:rFonts w:ascii="Arial" w:hAnsi="Arial" w:cs="Arial"/>
          <w:sz w:val="24"/>
          <w:szCs w:val="24"/>
          <w:lang w:val="es-ES_tradnl"/>
        </w:rPr>
      </w:pPr>
      <w:r w:rsidRPr="00030EB2">
        <w:rPr>
          <w:rFonts w:ascii="Arial" w:hAnsi="Arial" w:cs="Arial"/>
          <w:b/>
          <w:sz w:val="24"/>
          <w:szCs w:val="24"/>
          <w:lang w:val="es-ES"/>
        </w:rPr>
        <w:t>Enfoque teórico</w:t>
      </w:r>
      <w:r w:rsidR="00030EB2" w:rsidRPr="00030EB2">
        <w:rPr>
          <w:rFonts w:ascii="Arial" w:hAnsi="Arial" w:cs="Arial"/>
          <w:b/>
          <w:sz w:val="24"/>
          <w:szCs w:val="24"/>
          <w:lang w:val="es-ES"/>
        </w:rPr>
        <w:t>:</w:t>
      </w:r>
      <w:r w:rsidR="00030EB2">
        <w:rPr>
          <w:rFonts w:ascii="Arial" w:hAnsi="Arial" w:cs="Arial"/>
          <w:sz w:val="24"/>
          <w:szCs w:val="24"/>
          <w:lang w:val="es-ES"/>
        </w:rPr>
        <w:t xml:space="preserve"> </w:t>
      </w:r>
      <w:r w:rsidR="00BF38FA">
        <w:rPr>
          <w:rFonts w:ascii="Arial" w:hAnsi="Arial" w:cs="Arial"/>
          <w:sz w:val="24"/>
          <w:szCs w:val="24"/>
          <w:lang w:val="es-ES"/>
        </w:rPr>
        <w:t>L</w:t>
      </w:r>
      <w:r w:rsidR="00BF38FA" w:rsidRPr="00B972FE">
        <w:rPr>
          <w:rFonts w:ascii="Arial" w:hAnsi="Arial" w:cs="Arial"/>
          <w:sz w:val="24"/>
          <w:szCs w:val="24"/>
          <w:lang w:val="es-ES_tradnl"/>
        </w:rPr>
        <w:t>a valuación de los activos intangibles de dicha empresa y que podrá incluir en su capital social, permitirá</w:t>
      </w:r>
      <w:r w:rsidR="00BF38FA">
        <w:rPr>
          <w:rFonts w:ascii="Arial" w:hAnsi="Arial" w:cs="Arial"/>
          <w:sz w:val="24"/>
          <w:szCs w:val="24"/>
          <w:lang w:val="es-ES_tradnl"/>
        </w:rPr>
        <w:t xml:space="preserve"> reflejar el verdadero valor económico, mejorar la transparencia financiera y fortalecer su competitividad en mercados donde la innovación, la reputación y el conocimiento pesan más que los activos físicos</w:t>
      </w:r>
      <w:r w:rsidR="00BF38FA" w:rsidRPr="00B972FE">
        <w:rPr>
          <w:rFonts w:ascii="Arial" w:hAnsi="Arial" w:cs="Arial"/>
          <w:sz w:val="24"/>
          <w:szCs w:val="24"/>
          <w:lang w:val="es-ES_tradnl"/>
        </w:rPr>
        <w:t>.</w:t>
      </w: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sz w:val="24"/>
          <w:szCs w:val="24"/>
          <w:lang w:val="es-ES"/>
        </w:rPr>
        <w:t>Normas internacionales: IFRS, NIC 38.</w:t>
      </w:r>
      <w:r w:rsidR="00BF38FA">
        <w:rPr>
          <w:rFonts w:ascii="Arial" w:hAnsi="Arial" w:cs="Arial"/>
          <w:sz w:val="24"/>
          <w:szCs w:val="24"/>
          <w:lang w:val="es-ES"/>
        </w:rPr>
        <w:t xml:space="preserve"> </w:t>
      </w:r>
      <w:r w:rsidRPr="00030EB2">
        <w:rPr>
          <w:rFonts w:ascii="Arial" w:hAnsi="Arial" w:cs="Arial"/>
          <w:sz w:val="24"/>
          <w:szCs w:val="24"/>
          <w:lang w:val="es-ES"/>
        </w:rPr>
        <w:t>Normativa cubana: limitaciones en el reconocimiento contable.</w:t>
      </w:r>
      <w:r w:rsidR="00030EB2">
        <w:rPr>
          <w:rFonts w:ascii="Arial" w:hAnsi="Arial" w:cs="Arial"/>
          <w:sz w:val="24"/>
          <w:szCs w:val="24"/>
          <w:lang w:val="es-ES"/>
        </w:rPr>
        <w:t xml:space="preserve"> </w:t>
      </w:r>
      <w:r w:rsidRPr="00030EB2">
        <w:rPr>
          <w:rFonts w:ascii="Arial" w:hAnsi="Arial" w:cs="Arial"/>
          <w:sz w:val="24"/>
          <w:szCs w:val="24"/>
          <w:lang w:val="es-ES"/>
        </w:rPr>
        <w:t xml:space="preserve">Teoría de recursos intangibles: reputación, marca, </w:t>
      </w:r>
      <w:proofErr w:type="spellStart"/>
      <w:r w:rsidRPr="00030EB2">
        <w:rPr>
          <w:rFonts w:ascii="Arial" w:hAnsi="Arial" w:cs="Arial"/>
          <w:sz w:val="24"/>
          <w:szCs w:val="24"/>
          <w:lang w:val="es-ES"/>
        </w:rPr>
        <w:t>know-how</w:t>
      </w:r>
      <w:proofErr w:type="spellEnd"/>
      <w:r w:rsidRPr="00030EB2">
        <w:rPr>
          <w:rFonts w:ascii="Arial" w:hAnsi="Arial" w:cs="Arial"/>
          <w:sz w:val="24"/>
          <w:szCs w:val="24"/>
          <w:lang w:val="es-ES"/>
        </w:rPr>
        <w:t xml:space="preserve"> como ventajas competitivas.</w:t>
      </w:r>
    </w:p>
    <w:p w:rsidR="001D6455" w:rsidRDefault="001D6455" w:rsidP="00030EB2">
      <w:pPr>
        <w:spacing w:after="0" w:line="240" w:lineRule="auto"/>
        <w:jc w:val="both"/>
        <w:rPr>
          <w:rFonts w:ascii="Arial" w:hAnsi="Arial" w:cs="Arial"/>
          <w:b/>
          <w:sz w:val="24"/>
          <w:szCs w:val="24"/>
          <w:lang w:val="es-ES"/>
        </w:rPr>
      </w:pP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b/>
          <w:sz w:val="24"/>
          <w:szCs w:val="24"/>
          <w:lang w:val="es-ES"/>
        </w:rPr>
        <w:t>Metodología</w:t>
      </w:r>
      <w:r w:rsidR="00030EB2" w:rsidRPr="00030EB2">
        <w:rPr>
          <w:rFonts w:ascii="Arial" w:hAnsi="Arial" w:cs="Arial"/>
          <w:b/>
          <w:sz w:val="24"/>
          <w:szCs w:val="24"/>
          <w:lang w:val="es-ES"/>
        </w:rPr>
        <w:t>:</w:t>
      </w:r>
      <w:r w:rsidR="00030EB2">
        <w:rPr>
          <w:rFonts w:ascii="Arial" w:hAnsi="Arial" w:cs="Arial"/>
          <w:sz w:val="24"/>
          <w:szCs w:val="24"/>
          <w:lang w:val="es-ES"/>
        </w:rPr>
        <w:t xml:space="preserve"> </w:t>
      </w:r>
      <w:r w:rsidRPr="00030EB2">
        <w:rPr>
          <w:rFonts w:ascii="Arial" w:hAnsi="Arial" w:cs="Arial"/>
          <w:sz w:val="24"/>
          <w:szCs w:val="24"/>
          <w:lang w:val="es-ES"/>
        </w:rPr>
        <w:t>Métodos estadísticos: análisis de indicadores financieros, correlación entre ventas y reputación de marca.</w:t>
      </w:r>
      <w:r w:rsidR="00030EB2">
        <w:rPr>
          <w:rFonts w:ascii="Arial" w:hAnsi="Arial" w:cs="Arial"/>
          <w:sz w:val="24"/>
          <w:szCs w:val="24"/>
          <w:lang w:val="es-ES"/>
        </w:rPr>
        <w:t xml:space="preserve"> </w:t>
      </w:r>
      <w:r w:rsidRPr="00030EB2">
        <w:rPr>
          <w:rFonts w:ascii="Arial" w:hAnsi="Arial" w:cs="Arial"/>
          <w:sz w:val="24"/>
          <w:szCs w:val="24"/>
          <w:lang w:val="es-ES"/>
        </w:rPr>
        <w:t>Entrevistas: percepción de directivos y especialistas sobre el valor estratégico de la marca.</w:t>
      </w:r>
      <w:r w:rsidR="00030EB2">
        <w:rPr>
          <w:rFonts w:ascii="Arial" w:hAnsi="Arial" w:cs="Arial"/>
          <w:sz w:val="24"/>
          <w:szCs w:val="24"/>
          <w:lang w:val="es-ES"/>
        </w:rPr>
        <w:t xml:space="preserve"> </w:t>
      </w:r>
      <w:r w:rsidRPr="00030EB2">
        <w:rPr>
          <w:rFonts w:ascii="Arial" w:hAnsi="Arial" w:cs="Arial"/>
          <w:sz w:val="24"/>
          <w:szCs w:val="24"/>
          <w:lang w:val="es-ES"/>
        </w:rPr>
        <w:t>Triangulación: combinación de evidencia cuantitativa y cualitativa.</w:t>
      </w:r>
    </w:p>
    <w:p w:rsidR="001D6455" w:rsidRDefault="001D6455" w:rsidP="00030EB2">
      <w:pPr>
        <w:spacing w:after="0" w:line="240" w:lineRule="auto"/>
        <w:jc w:val="both"/>
        <w:rPr>
          <w:rFonts w:ascii="Arial" w:hAnsi="Arial" w:cs="Arial"/>
          <w:b/>
          <w:sz w:val="24"/>
          <w:szCs w:val="24"/>
          <w:lang w:val="es-ES"/>
        </w:rPr>
      </w:pP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b/>
          <w:sz w:val="24"/>
          <w:szCs w:val="24"/>
          <w:lang w:val="es-ES"/>
        </w:rPr>
        <w:t>Resultados</w:t>
      </w:r>
      <w:r w:rsidR="00030EB2" w:rsidRPr="00030EB2">
        <w:rPr>
          <w:rFonts w:ascii="Arial" w:hAnsi="Arial" w:cs="Arial"/>
          <w:b/>
          <w:sz w:val="24"/>
          <w:szCs w:val="24"/>
          <w:lang w:val="es-ES"/>
        </w:rPr>
        <w:t>:</w:t>
      </w:r>
      <w:r w:rsidR="00030EB2">
        <w:rPr>
          <w:rFonts w:ascii="Arial" w:hAnsi="Arial" w:cs="Arial"/>
          <w:sz w:val="24"/>
          <w:szCs w:val="24"/>
          <w:lang w:val="es-ES"/>
        </w:rPr>
        <w:t xml:space="preserve"> </w:t>
      </w:r>
      <w:r w:rsidRPr="00030EB2">
        <w:rPr>
          <w:rFonts w:ascii="Arial" w:hAnsi="Arial" w:cs="Arial"/>
          <w:sz w:val="24"/>
          <w:szCs w:val="24"/>
          <w:lang w:val="es-ES"/>
        </w:rPr>
        <w:t>La reputación de la marca</w:t>
      </w:r>
      <w:r w:rsidR="001D6455">
        <w:rPr>
          <w:rFonts w:ascii="Arial" w:hAnsi="Arial" w:cs="Arial"/>
          <w:sz w:val="24"/>
          <w:szCs w:val="24"/>
          <w:lang w:val="es-ES"/>
        </w:rPr>
        <w:t xml:space="preserve"> Cárnicos</w:t>
      </w:r>
      <w:r w:rsidRPr="00030EB2">
        <w:rPr>
          <w:rFonts w:ascii="Arial" w:hAnsi="Arial" w:cs="Arial"/>
          <w:sz w:val="24"/>
          <w:szCs w:val="24"/>
          <w:lang w:val="es-ES"/>
        </w:rPr>
        <w:t xml:space="preserve"> San Antón se traduce en fidelización y precios superiores en el mercado.</w:t>
      </w:r>
      <w:r w:rsidR="00030EB2">
        <w:rPr>
          <w:rFonts w:ascii="Arial" w:hAnsi="Arial" w:cs="Arial"/>
          <w:sz w:val="24"/>
          <w:szCs w:val="24"/>
          <w:lang w:val="es-ES"/>
        </w:rPr>
        <w:t xml:space="preserve"> </w:t>
      </w:r>
      <w:r w:rsidRPr="00030EB2">
        <w:rPr>
          <w:rFonts w:ascii="Arial" w:hAnsi="Arial" w:cs="Arial"/>
          <w:sz w:val="24"/>
          <w:szCs w:val="24"/>
          <w:lang w:val="es-ES"/>
        </w:rPr>
        <w:t>Las dificultades principales son la falta de comparables de mercado y la ausencia de lineamientos normativos claros en Cuba.</w:t>
      </w:r>
      <w:r w:rsidR="00030EB2">
        <w:rPr>
          <w:rFonts w:ascii="Arial" w:hAnsi="Arial" w:cs="Arial"/>
          <w:sz w:val="24"/>
          <w:szCs w:val="24"/>
          <w:lang w:val="es-ES"/>
        </w:rPr>
        <w:t xml:space="preserve"> </w:t>
      </w:r>
      <w:r w:rsidR="003671F8">
        <w:rPr>
          <w:rFonts w:ascii="Arial" w:hAnsi="Arial" w:cs="Arial"/>
          <w:sz w:val="24"/>
          <w:szCs w:val="24"/>
          <w:lang w:val="es-ES"/>
        </w:rPr>
        <w:t>Las empresas privadas cubanas que se tomaron como muestra no incluyen en su capital social activos intangibles</w:t>
      </w:r>
      <w:r w:rsidRPr="00030EB2">
        <w:rPr>
          <w:rFonts w:ascii="Arial" w:hAnsi="Arial" w:cs="Arial"/>
          <w:sz w:val="24"/>
          <w:szCs w:val="24"/>
          <w:lang w:val="es-ES"/>
        </w:rPr>
        <w:t>.</w:t>
      </w:r>
    </w:p>
    <w:p w:rsidR="001D6455" w:rsidRDefault="001D6455" w:rsidP="00030EB2">
      <w:pPr>
        <w:spacing w:after="0" w:line="240" w:lineRule="auto"/>
        <w:jc w:val="both"/>
        <w:rPr>
          <w:rFonts w:ascii="Arial" w:hAnsi="Arial" w:cs="Arial"/>
          <w:b/>
          <w:sz w:val="24"/>
          <w:szCs w:val="24"/>
          <w:lang w:val="es-ES"/>
        </w:rPr>
      </w:pP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b/>
          <w:sz w:val="24"/>
          <w:szCs w:val="24"/>
          <w:lang w:val="es-ES"/>
        </w:rPr>
        <w:t>Conclusiones</w:t>
      </w:r>
      <w:r w:rsidR="00030EB2" w:rsidRPr="00030EB2">
        <w:rPr>
          <w:rFonts w:ascii="Arial" w:hAnsi="Arial" w:cs="Arial"/>
          <w:b/>
          <w:sz w:val="24"/>
          <w:szCs w:val="24"/>
          <w:lang w:val="es-ES"/>
        </w:rPr>
        <w:t>:</w:t>
      </w:r>
      <w:r w:rsidR="00030EB2">
        <w:rPr>
          <w:rFonts w:ascii="Arial" w:hAnsi="Arial" w:cs="Arial"/>
          <w:sz w:val="24"/>
          <w:szCs w:val="24"/>
          <w:lang w:val="es-ES"/>
        </w:rPr>
        <w:t xml:space="preserve"> </w:t>
      </w:r>
      <w:r w:rsidR="002A6FA7">
        <w:rPr>
          <w:rFonts w:ascii="Arial" w:hAnsi="Arial" w:cs="Arial"/>
          <w:sz w:val="24"/>
          <w:szCs w:val="24"/>
          <w:lang w:val="es-ES"/>
        </w:rPr>
        <w:t>No existe un método integrador de valuación de activos intangibles pues no tienen en cuenta elementos claves como la condensaci</w:t>
      </w:r>
      <w:r w:rsidR="00D85193">
        <w:rPr>
          <w:rFonts w:ascii="Arial" w:hAnsi="Arial" w:cs="Arial"/>
          <w:sz w:val="24"/>
          <w:szCs w:val="24"/>
          <w:lang w:val="es-ES"/>
        </w:rPr>
        <w:t>ón de la reputación de la marca</w:t>
      </w:r>
      <w:r w:rsidR="002A6FA7">
        <w:rPr>
          <w:rFonts w:ascii="Arial" w:hAnsi="Arial" w:cs="Arial"/>
          <w:sz w:val="24"/>
          <w:szCs w:val="24"/>
          <w:lang w:val="es-ES"/>
        </w:rPr>
        <w:t xml:space="preserve">. </w:t>
      </w:r>
      <w:r w:rsidRPr="00030EB2">
        <w:rPr>
          <w:rFonts w:ascii="Arial" w:hAnsi="Arial" w:cs="Arial"/>
          <w:sz w:val="24"/>
          <w:szCs w:val="24"/>
          <w:lang w:val="es-ES"/>
        </w:rPr>
        <w:t xml:space="preserve">La valuación de intangibles fortalece la posición estratégica de </w:t>
      </w:r>
      <w:r w:rsidR="00D85193">
        <w:rPr>
          <w:rFonts w:ascii="Arial" w:hAnsi="Arial" w:cs="Arial"/>
          <w:sz w:val="24"/>
          <w:szCs w:val="24"/>
          <w:lang w:val="es-ES"/>
        </w:rPr>
        <w:t>cualquier empresa,</w:t>
      </w:r>
      <w:r w:rsidRPr="00030EB2">
        <w:rPr>
          <w:rFonts w:ascii="Arial" w:hAnsi="Arial" w:cs="Arial"/>
          <w:sz w:val="24"/>
          <w:szCs w:val="24"/>
          <w:lang w:val="es-ES"/>
        </w:rPr>
        <w:t xml:space="preserve"> mejora su transparencia financiera y constituye un instrumento clave para atraer inversión y consolidar ventajas competitivas.</w:t>
      </w:r>
    </w:p>
    <w:p w:rsidR="001D6455" w:rsidRPr="002A6FA7" w:rsidRDefault="001D6455" w:rsidP="00030EB2">
      <w:pPr>
        <w:spacing w:after="0" w:line="240" w:lineRule="auto"/>
        <w:jc w:val="both"/>
        <w:rPr>
          <w:rFonts w:ascii="Arial" w:hAnsi="Arial" w:cs="Arial"/>
          <w:b/>
          <w:sz w:val="24"/>
          <w:szCs w:val="24"/>
          <w:lang w:val="es-ES"/>
        </w:rPr>
      </w:pPr>
    </w:p>
    <w:p w:rsidR="00030EB2" w:rsidRPr="00030EB2" w:rsidRDefault="00E0504C" w:rsidP="00030EB2">
      <w:pPr>
        <w:spacing w:after="0" w:line="240" w:lineRule="auto"/>
        <w:jc w:val="both"/>
        <w:rPr>
          <w:rFonts w:ascii="Arial" w:hAnsi="Arial" w:cs="Arial"/>
          <w:b/>
          <w:sz w:val="24"/>
          <w:szCs w:val="24"/>
        </w:rPr>
      </w:pPr>
      <w:proofErr w:type="spellStart"/>
      <w:r w:rsidRPr="00D352E0">
        <w:rPr>
          <w:rFonts w:ascii="Arial" w:hAnsi="Arial" w:cs="Arial"/>
          <w:b/>
          <w:sz w:val="24"/>
          <w:szCs w:val="24"/>
        </w:rPr>
        <w:t>Referencias</w:t>
      </w:r>
      <w:proofErr w:type="spellEnd"/>
      <w:r w:rsidR="002A6FA7" w:rsidRPr="00D352E0">
        <w:rPr>
          <w:rFonts w:ascii="Arial" w:hAnsi="Arial" w:cs="Arial"/>
          <w:b/>
          <w:sz w:val="24"/>
          <w:szCs w:val="24"/>
        </w:rPr>
        <w:t xml:space="preserve"> </w:t>
      </w:r>
      <w:proofErr w:type="spellStart"/>
      <w:r w:rsidR="002A6FA7" w:rsidRPr="00D352E0">
        <w:rPr>
          <w:rFonts w:ascii="Arial" w:eastAsia="Arial" w:hAnsi="Arial" w:cs="Arial"/>
          <w:b/>
          <w:bCs/>
          <w:sz w:val="24"/>
          <w:szCs w:val="24"/>
        </w:rPr>
        <w:t>bibliográficas</w:t>
      </w:r>
      <w:proofErr w:type="spellEnd"/>
      <w:r w:rsidR="00030EB2" w:rsidRPr="00030EB2">
        <w:rPr>
          <w:rFonts w:ascii="Arial" w:hAnsi="Arial" w:cs="Arial"/>
          <w:b/>
          <w:sz w:val="24"/>
          <w:szCs w:val="24"/>
        </w:rPr>
        <w:t>:</w:t>
      </w:r>
      <w:r w:rsidRPr="00030EB2">
        <w:rPr>
          <w:rFonts w:ascii="Arial" w:hAnsi="Arial" w:cs="Arial"/>
          <w:b/>
          <w:sz w:val="24"/>
          <w:szCs w:val="24"/>
        </w:rPr>
        <w:t xml:space="preserve"> </w:t>
      </w:r>
    </w:p>
    <w:p w:rsidR="00DC087E" w:rsidRPr="00030EB2" w:rsidRDefault="00E0504C" w:rsidP="00030EB2">
      <w:pPr>
        <w:spacing w:after="0" w:line="240" w:lineRule="auto"/>
        <w:jc w:val="both"/>
        <w:rPr>
          <w:rFonts w:ascii="Arial" w:hAnsi="Arial" w:cs="Arial"/>
          <w:sz w:val="24"/>
          <w:szCs w:val="24"/>
          <w:lang w:val="es-ES"/>
        </w:rPr>
      </w:pPr>
      <w:r w:rsidRPr="00030EB2">
        <w:rPr>
          <w:rFonts w:ascii="Arial" w:hAnsi="Arial" w:cs="Arial"/>
          <w:sz w:val="24"/>
          <w:szCs w:val="24"/>
        </w:rPr>
        <w:t xml:space="preserve">International Accounting Standards Board (IASB). </w:t>
      </w:r>
      <w:r w:rsidRPr="00030EB2">
        <w:rPr>
          <w:rFonts w:ascii="Arial" w:hAnsi="Arial" w:cs="Arial"/>
          <w:sz w:val="24"/>
          <w:szCs w:val="24"/>
          <w:lang w:val="es-ES"/>
        </w:rPr>
        <w:t xml:space="preserve">(2021). IAS 38 Intangible </w:t>
      </w:r>
      <w:proofErr w:type="spellStart"/>
      <w:r w:rsidRPr="00030EB2">
        <w:rPr>
          <w:rFonts w:ascii="Arial" w:hAnsi="Arial" w:cs="Arial"/>
          <w:sz w:val="24"/>
          <w:szCs w:val="24"/>
          <w:lang w:val="es-ES"/>
        </w:rPr>
        <w:t>Assets</w:t>
      </w:r>
      <w:proofErr w:type="spellEnd"/>
      <w:r w:rsidRPr="00030EB2">
        <w:rPr>
          <w:rFonts w:ascii="Arial" w:hAnsi="Arial" w:cs="Arial"/>
          <w:sz w:val="24"/>
          <w:szCs w:val="24"/>
          <w:lang w:val="es-ES"/>
        </w:rPr>
        <w:t xml:space="preserve">. IFRS </w:t>
      </w:r>
      <w:proofErr w:type="spellStart"/>
      <w:r w:rsidRPr="00030EB2">
        <w:rPr>
          <w:rFonts w:ascii="Arial" w:hAnsi="Arial" w:cs="Arial"/>
          <w:sz w:val="24"/>
          <w:szCs w:val="24"/>
          <w:lang w:val="es-ES"/>
        </w:rPr>
        <w:t>Foundation</w:t>
      </w:r>
      <w:proofErr w:type="spellEnd"/>
      <w:r w:rsidRPr="00030EB2">
        <w:rPr>
          <w:rFonts w:ascii="Arial" w:hAnsi="Arial" w:cs="Arial"/>
          <w:sz w:val="24"/>
          <w:szCs w:val="24"/>
          <w:lang w:val="es-ES"/>
        </w:rPr>
        <w:t>.</w:t>
      </w:r>
    </w:p>
    <w:p w:rsidR="00DC087E" w:rsidRPr="00030EB2" w:rsidRDefault="00E0504C" w:rsidP="00030EB2">
      <w:pPr>
        <w:spacing w:after="0" w:line="240" w:lineRule="auto"/>
        <w:jc w:val="both"/>
        <w:rPr>
          <w:rFonts w:ascii="Arial" w:hAnsi="Arial" w:cs="Arial"/>
          <w:sz w:val="24"/>
          <w:szCs w:val="24"/>
        </w:rPr>
      </w:pPr>
      <w:r w:rsidRPr="00030EB2">
        <w:rPr>
          <w:rFonts w:ascii="Arial" w:hAnsi="Arial" w:cs="Arial"/>
          <w:sz w:val="24"/>
          <w:szCs w:val="24"/>
          <w:lang w:val="es-ES"/>
        </w:rPr>
        <w:t xml:space="preserve">Ministerio de Finanzas y Precios de Cuba. (2019). Normas Cubanas de Información Financiera (NCIF). </w:t>
      </w:r>
      <w:r w:rsidRPr="00030EB2">
        <w:rPr>
          <w:rFonts w:ascii="Arial" w:hAnsi="Arial" w:cs="Arial"/>
          <w:sz w:val="24"/>
          <w:szCs w:val="24"/>
        </w:rPr>
        <w:t>La Habana.</w:t>
      </w:r>
    </w:p>
    <w:p w:rsidR="00DC087E" w:rsidRPr="00030EB2" w:rsidRDefault="00E0504C" w:rsidP="00030EB2">
      <w:pPr>
        <w:spacing w:after="0" w:line="240" w:lineRule="auto"/>
        <w:jc w:val="both"/>
        <w:rPr>
          <w:rFonts w:ascii="Arial" w:hAnsi="Arial" w:cs="Arial"/>
          <w:sz w:val="24"/>
          <w:szCs w:val="24"/>
        </w:rPr>
      </w:pPr>
      <w:proofErr w:type="gramStart"/>
      <w:r w:rsidRPr="00030EB2">
        <w:rPr>
          <w:rFonts w:ascii="Arial" w:hAnsi="Arial" w:cs="Arial"/>
          <w:sz w:val="24"/>
          <w:szCs w:val="24"/>
        </w:rPr>
        <w:t>Lev, B. (2001).</w:t>
      </w:r>
      <w:proofErr w:type="gramEnd"/>
      <w:r w:rsidRPr="00030EB2">
        <w:rPr>
          <w:rFonts w:ascii="Arial" w:hAnsi="Arial" w:cs="Arial"/>
          <w:sz w:val="24"/>
          <w:szCs w:val="24"/>
        </w:rPr>
        <w:t xml:space="preserve"> Intangibles: Management, Measurement, and Reporting. Brookings Institution Press.</w:t>
      </w:r>
    </w:p>
    <w:p w:rsidR="00DC087E" w:rsidRPr="00030EB2" w:rsidRDefault="00E0504C" w:rsidP="00030EB2">
      <w:pPr>
        <w:spacing w:after="0" w:line="240" w:lineRule="auto"/>
        <w:jc w:val="both"/>
        <w:rPr>
          <w:rFonts w:ascii="Arial" w:hAnsi="Arial" w:cs="Arial"/>
          <w:sz w:val="24"/>
          <w:szCs w:val="24"/>
        </w:rPr>
      </w:pPr>
      <w:proofErr w:type="gramStart"/>
      <w:r w:rsidRPr="00030EB2">
        <w:rPr>
          <w:rFonts w:ascii="Arial" w:hAnsi="Arial" w:cs="Arial"/>
          <w:sz w:val="24"/>
          <w:szCs w:val="24"/>
        </w:rPr>
        <w:t>Kaplan, R. S., &amp; Norton, D. P. (2004).</w:t>
      </w:r>
      <w:proofErr w:type="gramEnd"/>
      <w:r w:rsidRPr="00030EB2">
        <w:rPr>
          <w:rFonts w:ascii="Arial" w:hAnsi="Arial" w:cs="Arial"/>
          <w:sz w:val="24"/>
          <w:szCs w:val="24"/>
        </w:rPr>
        <w:t xml:space="preserve"> Strategy Maps: Converting Intangible Assets into Tangible Outcomes. </w:t>
      </w:r>
      <w:proofErr w:type="gramStart"/>
      <w:r w:rsidRPr="00030EB2">
        <w:rPr>
          <w:rFonts w:ascii="Arial" w:hAnsi="Arial" w:cs="Arial"/>
          <w:sz w:val="24"/>
          <w:szCs w:val="24"/>
        </w:rPr>
        <w:t>Harvard Business School Press.</w:t>
      </w:r>
      <w:proofErr w:type="gramEnd"/>
    </w:p>
    <w:p w:rsidR="00DC087E" w:rsidRPr="00030EB2" w:rsidRDefault="00E0504C" w:rsidP="00030EB2">
      <w:pPr>
        <w:spacing w:after="0" w:line="240" w:lineRule="auto"/>
        <w:jc w:val="both"/>
        <w:rPr>
          <w:rFonts w:ascii="Arial" w:hAnsi="Arial" w:cs="Arial"/>
          <w:sz w:val="24"/>
          <w:szCs w:val="24"/>
          <w:lang w:val="es-ES"/>
        </w:rPr>
      </w:pPr>
      <w:proofErr w:type="gramStart"/>
      <w:r w:rsidRPr="00030EB2">
        <w:rPr>
          <w:rFonts w:ascii="Arial" w:hAnsi="Arial" w:cs="Arial"/>
          <w:sz w:val="24"/>
          <w:szCs w:val="24"/>
        </w:rPr>
        <w:t>Yin, R. K. (2018).</w:t>
      </w:r>
      <w:proofErr w:type="gramEnd"/>
      <w:r w:rsidRPr="00030EB2">
        <w:rPr>
          <w:rFonts w:ascii="Arial" w:hAnsi="Arial" w:cs="Arial"/>
          <w:sz w:val="24"/>
          <w:szCs w:val="24"/>
        </w:rPr>
        <w:t xml:space="preserve"> Case Study Research and Applications: Design and Methods. </w:t>
      </w:r>
      <w:proofErr w:type="spellStart"/>
      <w:r w:rsidRPr="00030EB2">
        <w:rPr>
          <w:rFonts w:ascii="Arial" w:hAnsi="Arial" w:cs="Arial"/>
          <w:sz w:val="24"/>
          <w:szCs w:val="24"/>
          <w:lang w:val="es-ES"/>
        </w:rPr>
        <w:t>Sage</w:t>
      </w:r>
      <w:proofErr w:type="spellEnd"/>
      <w:r w:rsidRPr="00030EB2">
        <w:rPr>
          <w:rFonts w:ascii="Arial" w:hAnsi="Arial" w:cs="Arial"/>
          <w:sz w:val="24"/>
          <w:szCs w:val="24"/>
          <w:lang w:val="es-ES"/>
        </w:rPr>
        <w:t xml:space="preserve"> </w:t>
      </w:r>
      <w:proofErr w:type="spellStart"/>
      <w:r w:rsidRPr="00030EB2">
        <w:rPr>
          <w:rFonts w:ascii="Arial" w:hAnsi="Arial" w:cs="Arial"/>
          <w:sz w:val="24"/>
          <w:szCs w:val="24"/>
          <w:lang w:val="es-ES"/>
        </w:rPr>
        <w:t>Publications</w:t>
      </w:r>
      <w:proofErr w:type="spellEnd"/>
      <w:r w:rsidRPr="00030EB2">
        <w:rPr>
          <w:rFonts w:ascii="Arial" w:hAnsi="Arial" w:cs="Arial"/>
          <w:sz w:val="24"/>
          <w:szCs w:val="24"/>
          <w:lang w:val="es-ES"/>
        </w:rPr>
        <w:t>.</w:t>
      </w:r>
    </w:p>
    <w:p w:rsidR="001D6455" w:rsidRDefault="001D6455" w:rsidP="00030EB2">
      <w:pPr>
        <w:spacing w:after="0" w:line="240" w:lineRule="auto"/>
        <w:jc w:val="both"/>
        <w:rPr>
          <w:rFonts w:ascii="Arial" w:hAnsi="Arial" w:cs="Arial"/>
          <w:sz w:val="24"/>
          <w:szCs w:val="24"/>
          <w:lang w:val="es-ES"/>
        </w:rPr>
      </w:pPr>
    </w:p>
    <w:p w:rsidR="00DC087E" w:rsidRPr="001D6455" w:rsidRDefault="00DC087E" w:rsidP="00030EB2">
      <w:pPr>
        <w:spacing w:after="0" w:line="240" w:lineRule="auto"/>
        <w:jc w:val="both"/>
        <w:rPr>
          <w:rFonts w:ascii="Arial" w:hAnsi="Arial" w:cs="Arial"/>
          <w:color w:val="FF0000"/>
          <w:sz w:val="24"/>
          <w:szCs w:val="24"/>
          <w:lang w:val="es-ES"/>
        </w:rPr>
      </w:pPr>
    </w:p>
    <w:sectPr w:rsidR="00DC087E" w:rsidRPr="001D6455" w:rsidSect="00E0504C">
      <w:pgSz w:w="12240" w:h="15840" w:code="1"/>
      <w:pgMar w:top="1418" w:right="1418" w:bottom="1418"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hyphenationZone w:val="425"/>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C087E"/>
    <w:rsid w:val="00030EB2"/>
    <w:rsid w:val="001D6455"/>
    <w:rsid w:val="00294858"/>
    <w:rsid w:val="002A6FA7"/>
    <w:rsid w:val="002C5216"/>
    <w:rsid w:val="003671F8"/>
    <w:rsid w:val="004C75E9"/>
    <w:rsid w:val="00825876"/>
    <w:rsid w:val="00BF38FA"/>
    <w:rsid w:val="00D352E0"/>
    <w:rsid w:val="00D85193"/>
    <w:rsid w:val="00DC087E"/>
    <w:rsid w:val="00E0504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87E"/>
    <w:pPr>
      <w:spacing w:after="200" w:line="276"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758</Words>
  <Characters>4172</Characters>
  <Application>Microsoft Office Word</Application>
  <DocSecurity>0</DocSecurity>
  <Lines>34</Lines>
  <Paragraphs>9</Paragraphs>
  <ScaleCrop>false</ScaleCrop>
  <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M2006C3LG</dc:creator>
  <cp:lastModifiedBy>Asegem</cp:lastModifiedBy>
  <cp:revision>13</cp:revision>
  <dcterms:created xsi:type="dcterms:W3CDTF">2026-10-03T18:54:00Z</dcterms:created>
  <dcterms:modified xsi:type="dcterms:W3CDTF">2026-10-06T18:34:00Z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c9e96f71d5244f71a645be81504d248b</vt:lpwstr>
  </property>
</Properties>
</file>