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9DB73" w14:textId="60E98249" w:rsidR="008C0BF2" w:rsidRDefault="008C0BF2" w:rsidP="00DB1A38">
      <w:pPr>
        <w:spacing w:after="0" w:line="240" w:lineRule="auto"/>
        <w:jc w:val="both"/>
        <w:rPr>
          <w:rFonts w:ascii="Arial" w:hAnsi="Arial" w:cs="Arial"/>
        </w:rPr>
      </w:pPr>
      <w:r w:rsidRPr="00DB1A38">
        <w:rPr>
          <w:rFonts w:ascii="Arial" w:hAnsi="Arial" w:cs="Arial"/>
          <w:b/>
          <w:bCs/>
        </w:rPr>
        <w:t>Título:</w:t>
      </w:r>
      <w:r w:rsidRPr="00DB1A38">
        <w:rPr>
          <w:rFonts w:ascii="Arial" w:hAnsi="Arial" w:cs="Arial"/>
        </w:rPr>
        <w:t xml:space="preserve"> Desafíos del Turismo en Cienfuegos para el cumplimiento de la Agenda 2030 en el contexto de crisis </w:t>
      </w:r>
    </w:p>
    <w:p w14:paraId="3FDCBA06" w14:textId="2470A607" w:rsidR="00DB1A38" w:rsidRPr="00DB1A38" w:rsidRDefault="00DB1A38" w:rsidP="00DB1A38">
      <w:pPr>
        <w:spacing w:after="0" w:line="240" w:lineRule="auto"/>
        <w:jc w:val="both"/>
        <w:rPr>
          <w:rFonts w:ascii="Arial" w:hAnsi="Arial" w:cs="Arial"/>
        </w:rPr>
      </w:pPr>
      <w:r w:rsidRPr="00DB1A38">
        <w:rPr>
          <w:rFonts w:ascii="Arial" w:hAnsi="Arial" w:cs="Arial"/>
          <w:b/>
          <w:bCs/>
        </w:rPr>
        <w:t>Eje Temático:</w:t>
      </w:r>
      <w:r>
        <w:rPr>
          <w:rFonts w:ascii="Arial" w:hAnsi="Arial" w:cs="Arial"/>
        </w:rPr>
        <w:t xml:space="preserve"> Gestión empresarial, desarrollo local y sostenibilidad </w:t>
      </w:r>
    </w:p>
    <w:p w14:paraId="25F4A152" w14:textId="77777777" w:rsidR="008C0BF2" w:rsidRDefault="008C0BF2" w:rsidP="00DB1A38">
      <w:pPr>
        <w:spacing w:after="0" w:line="240" w:lineRule="auto"/>
        <w:jc w:val="both"/>
        <w:rPr>
          <w:rFonts w:ascii="Arial" w:hAnsi="Arial" w:cs="Arial"/>
        </w:rPr>
      </w:pPr>
    </w:p>
    <w:p w14:paraId="1B0B21CD" w14:textId="1DB374F9" w:rsidR="00DB1A38" w:rsidRDefault="00DB1A38" w:rsidP="00DB1A38">
      <w:pPr>
        <w:spacing w:after="0" w:line="240" w:lineRule="auto"/>
        <w:jc w:val="both"/>
        <w:rPr>
          <w:rFonts w:ascii="Arial" w:hAnsi="Arial" w:cs="Arial"/>
        </w:rPr>
      </w:pPr>
      <w:r w:rsidRPr="00D30B41">
        <w:rPr>
          <w:rFonts w:ascii="Arial" w:hAnsi="Arial" w:cs="Arial"/>
          <w:b/>
          <w:bCs/>
        </w:rPr>
        <w:t>Autor:</w:t>
      </w:r>
      <w:r w:rsidRPr="00DB1A38">
        <w:rPr>
          <w:rFonts w:ascii="Arial" w:hAnsi="Arial" w:cs="Arial"/>
        </w:rPr>
        <w:t xml:space="preserve"> Dr. C. Damarys Hernandez Castillo. Universidad de Cienfuegos. Tel. 53946325. Email: </w:t>
      </w:r>
      <w:hyperlink r:id="rId4" w:history="1">
        <w:r w:rsidRPr="00E20EE3">
          <w:rPr>
            <w:rStyle w:val="Hipervnculo"/>
            <w:rFonts w:ascii="Arial" w:hAnsi="Arial" w:cs="Arial"/>
          </w:rPr>
          <w:t>hernandezcastillodamarys@gmail.com</w:t>
        </w:r>
      </w:hyperlink>
      <w:r>
        <w:rPr>
          <w:rFonts w:ascii="Arial" w:hAnsi="Arial" w:cs="Arial"/>
        </w:rPr>
        <w:t xml:space="preserve">    </w:t>
      </w:r>
    </w:p>
    <w:p w14:paraId="4366C7B4" w14:textId="1FF182B6" w:rsidR="00DB1A38" w:rsidRPr="00DB1A38" w:rsidRDefault="00DB1A38" w:rsidP="00DB1A38">
      <w:pPr>
        <w:spacing w:after="0" w:line="240" w:lineRule="auto"/>
        <w:jc w:val="both"/>
        <w:rPr>
          <w:rFonts w:ascii="Arial" w:hAnsi="Arial" w:cs="Arial"/>
          <w:lang w:val="pt-BR"/>
        </w:rPr>
      </w:pPr>
      <w:r w:rsidRPr="00D30B41">
        <w:rPr>
          <w:rFonts w:ascii="Arial" w:hAnsi="Arial" w:cs="Arial"/>
          <w:b/>
          <w:bCs/>
          <w:lang w:val="pt-BR"/>
        </w:rPr>
        <w:t>Coautores:</w:t>
      </w:r>
      <w:r w:rsidRPr="00DB1A38">
        <w:rPr>
          <w:rFonts w:ascii="Arial" w:hAnsi="Arial" w:cs="Arial"/>
          <w:lang w:val="pt-BR"/>
        </w:rPr>
        <w:t xml:space="preserve"> </w:t>
      </w:r>
      <w:proofErr w:type="spellStart"/>
      <w:r w:rsidRPr="00DB1A38">
        <w:rPr>
          <w:rFonts w:ascii="Arial" w:hAnsi="Arial" w:cs="Arial"/>
          <w:lang w:val="pt-BR"/>
        </w:rPr>
        <w:t>MSc</w:t>
      </w:r>
      <w:proofErr w:type="spellEnd"/>
      <w:r w:rsidRPr="00DB1A38">
        <w:rPr>
          <w:rFonts w:ascii="Arial" w:hAnsi="Arial" w:cs="Arial"/>
          <w:lang w:val="pt-BR"/>
        </w:rPr>
        <w:t xml:space="preserve">. </w:t>
      </w:r>
      <w:proofErr w:type="spellStart"/>
      <w:r w:rsidRPr="00DB1A38">
        <w:rPr>
          <w:rFonts w:ascii="Arial" w:hAnsi="Arial" w:cs="Arial"/>
          <w:lang w:val="pt-BR"/>
        </w:rPr>
        <w:t>Liannelis</w:t>
      </w:r>
      <w:proofErr w:type="spellEnd"/>
      <w:r w:rsidRPr="00DB1A38">
        <w:rPr>
          <w:rFonts w:ascii="Arial" w:hAnsi="Arial" w:cs="Arial"/>
          <w:lang w:val="pt-BR"/>
        </w:rPr>
        <w:t xml:space="preserve"> Torres </w:t>
      </w:r>
      <w:proofErr w:type="spellStart"/>
      <w:r w:rsidRPr="00DB1A38">
        <w:rPr>
          <w:rFonts w:ascii="Arial" w:hAnsi="Arial" w:cs="Arial"/>
          <w:lang w:val="pt-BR"/>
        </w:rPr>
        <w:t>Sarría</w:t>
      </w:r>
      <w:proofErr w:type="spellEnd"/>
      <w:r w:rsidRPr="00DB1A38">
        <w:rPr>
          <w:rFonts w:ascii="Arial" w:hAnsi="Arial" w:cs="Arial"/>
          <w:lang w:val="pt-BR"/>
        </w:rPr>
        <w:t xml:space="preserve">. </w:t>
      </w:r>
      <w:proofErr w:type="spellStart"/>
      <w:r w:rsidRPr="00DB1A38">
        <w:rPr>
          <w:rFonts w:ascii="Arial" w:hAnsi="Arial" w:cs="Arial"/>
          <w:lang w:val="pt-BR"/>
        </w:rPr>
        <w:t>email</w:t>
      </w:r>
      <w:proofErr w:type="spellEnd"/>
      <w:r w:rsidRPr="00DB1A38">
        <w:rPr>
          <w:rFonts w:ascii="Arial" w:hAnsi="Arial" w:cs="Arial"/>
          <w:lang w:val="pt-BR"/>
        </w:rPr>
        <w:t>:</w:t>
      </w:r>
      <w:r w:rsidR="00D30B41">
        <w:rPr>
          <w:rFonts w:ascii="Arial" w:hAnsi="Arial" w:cs="Arial"/>
          <w:lang w:val="pt-BR"/>
        </w:rPr>
        <w:t xml:space="preserve"> </w:t>
      </w:r>
      <w:hyperlink r:id="rId5" w:history="1">
        <w:r w:rsidR="00D30B41" w:rsidRPr="00E20EE3">
          <w:rPr>
            <w:rStyle w:val="Hipervnculo"/>
            <w:rFonts w:ascii="Arial" w:hAnsi="Arial" w:cs="Arial"/>
            <w:lang w:val="pt-BR"/>
          </w:rPr>
          <w:t>ltorres@ucf.edu.cu</w:t>
        </w:r>
      </w:hyperlink>
      <w:r w:rsidR="00D30B41">
        <w:rPr>
          <w:rFonts w:ascii="Arial" w:hAnsi="Arial" w:cs="Arial"/>
          <w:lang w:val="pt-BR"/>
        </w:rPr>
        <w:t xml:space="preserve"> </w:t>
      </w:r>
      <w:r>
        <w:rPr>
          <w:rFonts w:ascii="Arial" w:hAnsi="Arial" w:cs="Arial"/>
          <w:lang w:val="pt-BR"/>
        </w:rPr>
        <w:t xml:space="preserve"> </w:t>
      </w:r>
    </w:p>
    <w:p w14:paraId="43399AB8" w14:textId="4BAF17AE" w:rsidR="00DB1A38" w:rsidRPr="00DB1A38" w:rsidRDefault="00DB1A38" w:rsidP="00DB1A38">
      <w:pPr>
        <w:spacing w:after="0" w:line="240" w:lineRule="auto"/>
        <w:jc w:val="both"/>
        <w:rPr>
          <w:rFonts w:ascii="Arial" w:hAnsi="Arial" w:cs="Arial"/>
          <w:lang w:val="pt-BR"/>
        </w:rPr>
      </w:pPr>
      <w:proofErr w:type="spellStart"/>
      <w:r w:rsidRPr="00DB1A38">
        <w:rPr>
          <w:rFonts w:ascii="Arial" w:hAnsi="Arial" w:cs="Arial"/>
          <w:lang w:val="pt-BR"/>
        </w:rPr>
        <w:t>MSc.Yanet</w:t>
      </w:r>
      <w:proofErr w:type="spellEnd"/>
      <w:r w:rsidRPr="00DB1A38">
        <w:rPr>
          <w:rFonts w:ascii="Arial" w:hAnsi="Arial" w:cs="Arial"/>
          <w:lang w:val="pt-BR"/>
        </w:rPr>
        <w:t xml:space="preserve"> Roca Toledo. </w:t>
      </w:r>
      <w:proofErr w:type="spellStart"/>
      <w:r w:rsidRPr="00DB1A38">
        <w:rPr>
          <w:rFonts w:ascii="Arial" w:hAnsi="Arial" w:cs="Arial"/>
          <w:lang w:val="pt-BR"/>
        </w:rPr>
        <w:t>email</w:t>
      </w:r>
      <w:proofErr w:type="spellEnd"/>
      <w:r w:rsidRPr="00DB1A38">
        <w:rPr>
          <w:rFonts w:ascii="Arial" w:hAnsi="Arial" w:cs="Arial"/>
          <w:lang w:val="pt-BR"/>
        </w:rPr>
        <w:t xml:space="preserve">: </w:t>
      </w:r>
      <w:hyperlink r:id="rId6" w:history="1">
        <w:r w:rsidRPr="00DB1A38">
          <w:rPr>
            <w:rStyle w:val="Hipervnculo"/>
            <w:rFonts w:ascii="Arial" w:hAnsi="Arial" w:cs="Arial"/>
            <w:lang w:val="pt-BR"/>
          </w:rPr>
          <w:t>ytoledo@ucf.edu.cu</w:t>
        </w:r>
      </w:hyperlink>
      <w:r w:rsidRPr="00DB1A38">
        <w:rPr>
          <w:rFonts w:ascii="Arial" w:hAnsi="Arial" w:cs="Arial"/>
          <w:lang w:val="pt-BR"/>
        </w:rPr>
        <w:t xml:space="preserve"> </w:t>
      </w:r>
    </w:p>
    <w:p w14:paraId="16217A92" w14:textId="022A8630" w:rsidR="00DB1A38" w:rsidRPr="00DB1A38" w:rsidRDefault="00DB1A38" w:rsidP="00DB1A38">
      <w:pPr>
        <w:spacing w:after="0" w:line="240" w:lineRule="auto"/>
        <w:jc w:val="both"/>
        <w:rPr>
          <w:rFonts w:ascii="Arial" w:hAnsi="Arial" w:cs="Arial"/>
        </w:rPr>
      </w:pPr>
      <w:proofErr w:type="spellStart"/>
      <w:r w:rsidRPr="00DB1A38">
        <w:rPr>
          <w:rFonts w:ascii="Arial" w:hAnsi="Arial" w:cs="Arial"/>
        </w:rPr>
        <w:t>MSc</w:t>
      </w:r>
      <w:proofErr w:type="spellEnd"/>
      <w:r w:rsidRPr="00DB1A38">
        <w:rPr>
          <w:rFonts w:ascii="Arial" w:hAnsi="Arial" w:cs="Arial"/>
        </w:rPr>
        <w:t>. Dayana Olazabal Padilla</w:t>
      </w:r>
      <w:r w:rsidR="00D30B41">
        <w:rPr>
          <w:rFonts w:ascii="Arial" w:hAnsi="Arial" w:cs="Arial"/>
        </w:rPr>
        <w:t xml:space="preserve"> </w:t>
      </w:r>
      <w:hyperlink r:id="rId7" w:history="1">
        <w:r w:rsidR="00D30B41" w:rsidRPr="00E20EE3">
          <w:rPr>
            <w:rStyle w:val="Hipervnculo"/>
            <w:rFonts w:ascii="Arial" w:hAnsi="Arial" w:cs="Arial"/>
          </w:rPr>
          <w:t>dpadilla@ucf.edu.cu</w:t>
        </w:r>
      </w:hyperlink>
      <w:r w:rsidR="00D30B41">
        <w:rPr>
          <w:rFonts w:ascii="Arial" w:hAnsi="Arial" w:cs="Arial"/>
        </w:rPr>
        <w:t xml:space="preserve"> </w:t>
      </w:r>
    </w:p>
    <w:p w14:paraId="343A3FBE" w14:textId="77777777" w:rsidR="008C0BF2" w:rsidRPr="00DB1A38" w:rsidRDefault="008C0BF2" w:rsidP="00DB1A38">
      <w:pPr>
        <w:spacing w:after="0" w:line="240" w:lineRule="auto"/>
        <w:jc w:val="both"/>
        <w:rPr>
          <w:rFonts w:ascii="Arial" w:hAnsi="Arial" w:cs="Arial"/>
        </w:rPr>
      </w:pPr>
    </w:p>
    <w:p w14:paraId="39AC19C4" w14:textId="77777777" w:rsidR="008C0BF2" w:rsidRPr="00DB1A38" w:rsidRDefault="008C0BF2" w:rsidP="00DB1A38">
      <w:pPr>
        <w:spacing w:after="0" w:line="240" w:lineRule="auto"/>
        <w:jc w:val="both"/>
        <w:rPr>
          <w:rFonts w:ascii="Arial" w:hAnsi="Arial" w:cs="Arial"/>
          <w:b/>
          <w:bCs/>
        </w:rPr>
      </w:pPr>
      <w:r w:rsidRPr="00DB1A38">
        <w:rPr>
          <w:rFonts w:ascii="Arial" w:hAnsi="Arial" w:cs="Arial"/>
          <w:b/>
          <w:bCs/>
        </w:rPr>
        <w:t>Resumen</w:t>
      </w:r>
    </w:p>
    <w:p w14:paraId="398CE365" w14:textId="77777777" w:rsidR="008C0BF2" w:rsidRPr="00DB1A38" w:rsidRDefault="008C0BF2" w:rsidP="00DB1A38">
      <w:pPr>
        <w:spacing w:after="0" w:line="240" w:lineRule="auto"/>
        <w:jc w:val="both"/>
        <w:rPr>
          <w:rFonts w:ascii="Arial" w:hAnsi="Arial" w:cs="Arial"/>
        </w:rPr>
      </w:pPr>
      <w:r w:rsidRPr="00DB1A38">
        <w:rPr>
          <w:rFonts w:ascii="Arial" w:hAnsi="Arial" w:cs="Arial"/>
        </w:rPr>
        <w:t>Este artículo analiza las potencialidades y los desafíos del turismo en Cienfuegos para contribuir al cumplimiento de la Agenda 2030 y sus Objetivos de Desarrollo Sostenible (ODS) en el contexto de la crisis multidimensional que atraviesa Cuba en 2026. A partir del análisis de fuentes documentales, informes económicos y estudios de caso, se examinan los impactos de la crisis energética, la caída del 48% de las llegadas internacionales y el desabastecimiento sobre el sector turístico del territorio. Se identifican alineaciones concretas del turismo cienfueguero con los ODS 1, 8, 11, 12, 14 y 17, y se destaca el papel articulador de la Universidad de Cienfuegos en la investigación aplicada, la formación de capacidades y la cooperación internacional para un turismo local sostenible. Finalmente, se proponen estrategias de resiliencia en clave de desarrollo sostenible, demostrando que, incluso en condiciones adversas, Cienfuegos posee herramientas endógenas y externas para transitar hacia un modelo turístico más inclusivo, resiliente y respetuoso con el patrimonio y el medio ambiente.</w:t>
      </w:r>
    </w:p>
    <w:p w14:paraId="6CFC74E0" w14:textId="77777777" w:rsidR="008C0BF2" w:rsidRPr="00DB1A38" w:rsidRDefault="008C0BF2" w:rsidP="00DB1A38">
      <w:pPr>
        <w:spacing w:after="0" w:line="240" w:lineRule="auto"/>
        <w:jc w:val="both"/>
        <w:rPr>
          <w:rFonts w:ascii="Arial" w:hAnsi="Arial" w:cs="Arial"/>
        </w:rPr>
      </w:pPr>
    </w:p>
    <w:p w14:paraId="2C1CB7C0" w14:textId="77777777" w:rsidR="008C0BF2" w:rsidRPr="00DB1A38" w:rsidRDefault="008C0BF2" w:rsidP="00DB1A38">
      <w:pPr>
        <w:spacing w:after="0" w:line="240" w:lineRule="auto"/>
        <w:jc w:val="both"/>
        <w:rPr>
          <w:rFonts w:ascii="Arial" w:hAnsi="Arial" w:cs="Arial"/>
        </w:rPr>
      </w:pPr>
      <w:r w:rsidRPr="00DB1A38">
        <w:rPr>
          <w:rFonts w:ascii="Arial" w:hAnsi="Arial" w:cs="Arial"/>
        </w:rPr>
        <w:t>Palabras clave: turismo sostenible, Agenda 2030, crisis energética, desarrollo local, Cienfuegos, Universidad.</w:t>
      </w:r>
    </w:p>
    <w:p w14:paraId="19397D60" w14:textId="77777777" w:rsidR="008C0BF2" w:rsidRPr="00DB1A38" w:rsidRDefault="008C0BF2" w:rsidP="00DB1A38">
      <w:pPr>
        <w:spacing w:after="0" w:line="240" w:lineRule="auto"/>
        <w:jc w:val="both"/>
        <w:rPr>
          <w:rFonts w:ascii="Arial" w:hAnsi="Arial" w:cs="Arial"/>
        </w:rPr>
      </w:pPr>
    </w:p>
    <w:p w14:paraId="4D8B7E3A" w14:textId="77777777" w:rsidR="008C0BF2" w:rsidRPr="00DB1A38" w:rsidRDefault="008C0BF2" w:rsidP="00DB1A38">
      <w:pPr>
        <w:spacing w:after="0" w:line="240" w:lineRule="auto"/>
        <w:jc w:val="both"/>
        <w:rPr>
          <w:rFonts w:ascii="Arial" w:hAnsi="Arial" w:cs="Arial"/>
          <w:b/>
          <w:bCs/>
        </w:rPr>
      </w:pPr>
      <w:r w:rsidRPr="00DB1A38">
        <w:rPr>
          <w:rFonts w:ascii="Arial" w:hAnsi="Arial" w:cs="Arial"/>
          <w:b/>
          <w:bCs/>
        </w:rPr>
        <w:t>Introducción</w:t>
      </w:r>
    </w:p>
    <w:p w14:paraId="0566C82F" w14:textId="77777777" w:rsidR="008C0BF2" w:rsidRPr="00DB1A38" w:rsidRDefault="008C0BF2" w:rsidP="00DB1A38">
      <w:pPr>
        <w:spacing w:after="0" w:line="240" w:lineRule="auto"/>
        <w:jc w:val="both"/>
        <w:rPr>
          <w:rFonts w:ascii="Arial" w:hAnsi="Arial" w:cs="Arial"/>
        </w:rPr>
      </w:pPr>
      <w:r w:rsidRPr="00DB1A38">
        <w:rPr>
          <w:rFonts w:ascii="Arial" w:hAnsi="Arial" w:cs="Arial"/>
        </w:rPr>
        <w:t>La Agenda 2030 para el Desarrollo Sostenible y sus 17 Objetivos de Desarrollo Sostenible constituyen el marco de referencia global para la acción en favor de las personas, el planeta y la prosperidad. A diez años de su adopción en 2015, los datos más actuales reflejan un panorama sombrío. En 2025, las Naciones Unidas ADVIRTIÓ que solo el 35% de las metas progresan moderadamente, casi la mitad de los objetivos avanzan despacio y un 18 % va “a la inversa” [13†L7-L14]. Ante esta "emergencia mundial de desarrollo", Cuba ha reiterado su firme compromiso con la implementación de la Agenda 2030 alineada con su Plan Nacional de Desarrollo Económico y Social hasta 2030 (PNDES 2030) [5†L12-L15]. En este marco, la localización de los ODS en los municipios y provincias cubanas es un proceso activo que cuenta con el apoyo de ONU-Hábitat [5†L28-L32].</w:t>
      </w:r>
    </w:p>
    <w:p w14:paraId="344D9E62"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Sin embargo, el país afronta en 2026 una de las crisis más graves de su historia reciente. La crisis energética, la tensión geopolítica y las sanciones económicas han impactado de manera severa al sector turístico, considerado tradicionalmente un motor de la economía nacional. En el primer trimestre de 2026, Cuba recibió apenas 298.057 turistas internacionales, un 48% menos que en el mismo período de 2025 [11†L4-L6]. Esta situación, agravada por los frecuentes apagones, el </w:t>
      </w:r>
      <w:r w:rsidRPr="00DB1A38">
        <w:rPr>
          <w:rFonts w:ascii="Arial" w:hAnsi="Arial" w:cs="Arial"/>
        </w:rPr>
        <w:lastRenderedPageBreak/>
        <w:t>desabastecimiento y la suspensión de vuelos, ha puesto en jaque la viabilidad de muchas instalaciones y emprendimientos turísticos.</w:t>
      </w:r>
    </w:p>
    <w:p w14:paraId="20C1DB83" w14:textId="77777777" w:rsidR="008C0BF2" w:rsidRPr="00DB1A38" w:rsidRDefault="008C0BF2" w:rsidP="00DB1A38">
      <w:pPr>
        <w:spacing w:after="0" w:line="240" w:lineRule="auto"/>
        <w:jc w:val="both"/>
        <w:rPr>
          <w:rFonts w:ascii="Arial" w:hAnsi="Arial" w:cs="Arial"/>
        </w:rPr>
      </w:pPr>
    </w:p>
    <w:p w14:paraId="480EF620"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En este complejo escenario, la ciudad de Cienfuegos —declarada Patrimonio Cultural de la Humanidad en 2005— se presenta como un caso de estudio paradigmático. Con su centro histórico, su bahía y sus atractivos naturales en las montañas de </w:t>
      </w:r>
      <w:proofErr w:type="spellStart"/>
      <w:r w:rsidRPr="00DB1A38">
        <w:rPr>
          <w:rFonts w:ascii="Arial" w:hAnsi="Arial" w:cs="Arial"/>
        </w:rPr>
        <w:t>Guamuhaya</w:t>
      </w:r>
      <w:proofErr w:type="spellEnd"/>
      <w:r w:rsidRPr="00DB1A38">
        <w:rPr>
          <w:rFonts w:ascii="Arial" w:hAnsi="Arial" w:cs="Arial"/>
        </w:rPr>
        <w:t>, la "Perla del Sur" reúne valores patrimoniales y ambientales de primer orden. El objetivo de este trabajo es analizar el papel del turismo en Cienfuegos como herramienta para avanzar en el cumplimiento de la Agenda 2030 en contexto de crisis, identificando tanto sus contribuciones potenciales a los ODS como los principales desafíos que impiden materializar ese potencial.</w:t>
      </w:r>
    </w:p>
    <w:p w14:paraId="0104F2AF" w14:textId="77777777" w:rsidR="008C0BF2" w:rsidRPr="00DB1A38" w:rsidRDefault="008C0BF2" w:rsidP="00DB1A38">
      <w:pPr>
        <w:spacing w:after="0" w:line="240" w:lineRule="auto"/>
        <w:jc w:val="both"/>
        <w:rPr>
          <w:rFonts w:ascii="Arial" w:hAnsi="Arial" w:cs="Arial"/>
        </w:rPr>
      </w:pPr>
    </w:p>
    <w:p w14:paraId="524A22F8" w14:textId="77777777" w:rsidR="008C0BF2" w:rsidRPr="00DB1A38" w:rsidRDefault="008C0BF2" w:rsidP="00DB1A38">
      <w:pPr>
        <w:spacing w:after="0" w:line="240" w:lineRule="auto"/>
        <w:jc w:val="both"/>
        <w:rPr>
          <w:rFonts w:ascii="Arial" w:hAnsi="Arial" w:cs="Arial"/>
          <w:b/>
          <w:bCs/>
        </w:rPr>
      </w:pPr>
      <w:r w:rsidRPr="00DB1A38">
        <w:rPr>
          <w:rFonts w:ascii="Arial" w:hAnsi="Arial" w:cs="Arial"/>
          <w:b/>
          <w:bCs/>
        </w:rPr>
        <w:t>I. El turismo en Cienfuegos ante la crisis de 2026</w:t>
      </w:r>
    </w:p>
    <w:p w14:paraId="1E084C67" w14:textId="77777777" w:rsidR="008C0BF2" w:rsidRPr="00DB1A38" w:rsidRDefault="008C0BF2" w:rsidP="00DB1A38">
      <w:pPr>
        <w:spacing w:after="0" w:line="240" w:lineRule="auto"/>
        <w:jc w:val="both"/>
        <w:rPr>
          <w:rFonts w:ascii="Arial" w:hAnsi="Arial" w:cs="Arial"/>
        </w:rPr>
      </w:pPr>
      <w:r w:rsidRPr="00DB1A38">
        <w:rPr>
          <w:rFonts w:ascii="Arial" w:hAnsi="Arial" w:cs="Arial"/>
        </w:rPr>
        <w:t>1.1 Diagnóstico del sector: inversiones y limitaciones</w:t>
      </w:r>
    </w:p>
    <w:p w14:paraId="0E54A35B" w14:textId="77777777" w:rsidR="008C0BF2" w:rsidRPr="00DB1A38" w:rsidRDefault="008C0BF2" w:rsidP="00DB1A38">
      <w:pPr>
        <w:spacing w:after="0" w:line="240" w:lineRule="auto"/>
        <w:jc w:val="both"/>
        <w:rPr>
          <w:rFonts w:ascii="Arial" w:hAnsi="Arial" w:cs="Arial"/>
        </w:rPr>
      </w:pPr>
      <w:r w:rsidRPr="00DB1A38">
        <w:rPr>
          <w:rFonts w:ascii="Arial" w:hAnsi="Arial" w:cs="Arial"/>
        </w:rPr>
        <w:t>Pese a las dificultades económicas que atraviesa el país, el sector del turismo en Cienfuegos ha mantenido una política de inversiones orientadas a mejorar su planta hotelera y sus servicios complementarios. Para 2026, las principales inversiones se concentran en los hoteles Jagua y La Punta, así como en complejos gastronómicos recreativos como La Plaza, Costa Sur, el Delfinario, el restaurante Los Helechos en El Nicho y el cambio de imagen del Ranchón La Aguada [8†L3-L18]. Con una inversión de 15 millones de dólares en remodelación, financiados por el MINTUR y la cadena española Meliá, el Hotel Jagua y el Complejo Amanecer–La Punta constituyen los ejes de esa estrategia de reposicionamiento del destino [9†L17-L24].</w:t>
      </w:r>
    </w:p>
    <w:p w14:paraId="344A8913" w14:textId="77777777" w:rsidR="008C0BF2" w:rsidRPr="00DB1A38" w:rsidRDefault="008C0BF2" w:rsidP="00DB1A38">
      <w:pPr>
        <w:spacing w:after="0" w:line="240" w:lineRule="auto"/>
        <w:jc w:val="both"/>
        <w:rPr>
          <w:rFonts w:ascii="Arial" w:hAnsi="Arial" w:cs="Arial"/>
        </w:rPr>
      </w:pPr>
      <w:r w:rsidRPr="00DB1A38">
        <w:rPr>
          <w:rFonts w:ascii="Arial" w:hAnsi="Arial" w:cs="Arial"/>
        </w:rPr>
        <w:t>Estas inversiones se complementan con acciones de sostenibilidad energética, la incorporación de sistemas de paneles solares en varios puntos de rentas, bases de cargas eléctricas, la instalación de lámparas fotovoltaicas en entidades y una estación de carga para autos eléctricos en el Hotel La Unión y en el Ranchón de Aguada [0†L10-L14][8†L18-L20]. Estas acciones, si bien limitadas frente a la magnitud de la crisis, representan pasos en la dirección correcta hacia la reducción de la dependencia de combustibles fósiles.</w:t>
      </w:r>
    </w:p>
    <w:p w14:paraId="2A796F93" w14:textId="77777777" w:rsidR="008C0BF2" w:rsidRPr="00DB1A38" w:rsidRDefault="008C0BF2" w:rsidP="00DB1A38">
      <w:pPr>
        <w:spacing w:after="0" w:line="240" w:lineRule="auto"/>
        <w:jc w:val="both"/>
        <w:rPr>
          <w:rFonts w:ascii="Arial" w:hAnsi="Arial" w:cs="Arial"/>
        </w:rPr>
      </w:pPr>
    </w:p>
    <w:p w14:paraId="0FBA33CC" w14:textId="77777777" w:rsidR="008C0BF2" w:rsidRPr="00DB1A38" w:rsidRDefault="008C0BF2" w:rsidP="00DB1A38">
      <w:pPr>
        <w:spacing w:after="0" w:line="240" w:lineRule="auto"/>
        <w:jc w:val="both"/>
        <w:rPr>
          <w:rFonts w:ascii="Arial" w:hAnsi="Arial" w:cs="Arial"/>
        </w:rPr>
      </w:pPr>
      <w:r w:rsidRPr="00DB1A38">
        <w:rPr>
          <w:rFonts w:ascii="Arial" w:hAnsi="Arial" w:cs="Arial"/>
        </w:rPr>
        <w:t>1.2 El impacto de la crisis energética y la caída de la demanda</w:t>
      </w:r>
    </w:p>
    <w:p w14:paraId="4234DC36" w14:textId="77777777" w:rsidR="008C0BF2" w:rsidRPr="00DB1A38" w:rsidRDefault="008C0BF2" w:rsidP="00DB1A38">
      <w:pPr>
        <w:spacing w:after="0" w:line="240" w:lineRule="auto"/>
        <w:jc w:val="both"/>
        <w:rPr>
          <w:rFonts w:ascii="Arial" w:hAnsi="Arial" w:cs="Arial"/>
        </w:rPr>
      </w:pPr>
      <w:r w:rsidRPr="00DB1A38">
        <w:rPr>
          <w:rFonts w:ascii="Arial" w:hAnsi="Arial" w:cs="Arial"/>
        </w:rPr>
        <w:t>La crisis energética que atraviesa el país es, sin embargo, un factor que ha socavado drásticamente la demanda turística. La cifra de 298.057 turistas en el primer trimestre de 2026 es la más baja de los últimos años, con una pronunciada caída mes a mes: en marzo llegaron apenas 35.560 visitantes [12†L29-L30]. Los apagones de hasta 17 horas diarias, la falta de combustible para los vehículos de alquiler, la suspensión de vuelos comerciales y el desabastecimiento en hoteles y restaurantes son la norma más que la excepción. Esta realidad ha tenido un efecto demoledor sobre los llamados emprendimientos privados, especialmente en el caso de las casas particulares y pequeños hostales, ya sumidos en una profunda crisis por la falta de demanda [15†L20-L26].</w:t>
      </w:r>
    </w:p>
    <w:p w14:paraId="315BBAF9" w14:textId="77777777" w:rsidR="008C0BF2" w:rsidRPr="00DB1A38" w:rsidRDefault="008C0BF2" w:rsidP="00DB1A38">
      <w:pPr>
        <w:spacing w:after="0" w:line="240" w:lineRule="auto"/>
        <w:jc w:val="both"/>
        <w:rPr>
          <w:rFonts w:ascii="Arial" w:hAnsi="Arial" w:cs="Arial"/>
        </w:rPr>
      </w:pPr>
      <w:r w:rsidRPr="00DB1A38">
        <w:rPr>
          <w:rFonts w:ascii="Arial" w:hAnsi="Arial" w:cs="Arial"/>
        </w:rPr>
        <w:t>"Tener un hostal ya no da mucho negocio. Gran parte de los arrendadores que antes mantenían sus habitaciones llenas en temporada alta, ahora ven afectada su principal fuente de ingresos" [15†L20-L23].</w:t>
      </w:r>
    </w:p>
    <w:p w14:paraId="2C7A5D14" w14:textId="77777777" w:rsidR="008C0BF2" w:rsidRPr="00DB1A38" w:rsidRDefault="008C0BF2" w:rsidP="00DB1A38">
      <w:pPr>
        <w:spacing w:after="0" w:line="240" w:lineRule="auto"/>
        <w:jc w:val="both"/>
        <w:rPr>
          <w:rFonts w:ascii="Arial" w:hAnsi="Arial" w:cs="Arial"/>
        </w:rPr>
      </w:pPr>
      <w:r w:rsidRPr="00DB1A38">
        <w:rPr>
          <w:rFonts w:ascii="Arial" w:hAnsi="Arial" w:cs="Arial"/>
        </w:rPr>
        <w:lastRenderedPageBreak/>
        <w:t>Así, Cienfuegos se ve atrapada entre la necesidad de modernizar su infraestructura turística y la cruda realidad de una demanda derrumbada que pone en riesgo la viabilidad económica de todo el ecosistema turístico territorial.</w:t>
      </w:r>
    </w:p>
    <w:p w14:paraId="6D519E78" w14:textId="77777777" w:rsidR="008C0BF2" w:rsidRPr="00DB1A38" w:rsidRDefault="008C0BF2" w:rsidP="00DB1A38">
      <w:pPr>
        <w:spacing w:after="0" w:line="240" w:lineRule="auto"/>
        <w:jc w:val="both"/>
        <w:rPr>
          <w:rFonts w:ascii="Arial" w:hAnsi="Arial" w:cs="Arial"/>
        </w:rPr>
      </w:pPr>
    </w:p>
    <w:p w14:paraId="6F394DC0" w14:textId="77777777" w:rsidR="008C0BF2" w:rsidRPr="00DB1A38" w:rsidRDefault="008C0BF2" w:rsidP="00DB1A38">
      <w:pPr>
        <w:spacing w:after="0" w:line="240" w:lineRule="auto"/>
        <w:jc w:val="both"/>
        <w:rPr>
          <w:rFonts w:ascii="Arial" w:hAnsi="Arial" w:cs="Arial"/>
        </w:rPr>
      </w:pPr>
      <w:r w:rsidRPr="00DB1A38">
        <w:rPr>
          <w:rFonts w:ascii="Arial" w:hAnsi="Arial" w:cs="Arial"/>
        </w:rPr>
        <w:t>1.3 Fortalezas del destino Cienfuegos</w:t>
      </w:r>
    </w:p>
    <w:p w14:paraId="3FB7BC4E" w14:textId="77777777" w:rsidR="008C0BF2" w:rsidRPr="00DB1A38" w:rsidRDefault="008C0BF2" w:rsidP="00DB1A38">
      <w:pPr>
        <w:spacing w:after="0" w:line="240" w:lineRule="auto"/>
        <w:jc w:val="both"/>
        <w:rPr>
          <w:rFonts w:ascii="Arial" w:hAnsi="Arial" w:cs="Arial"/>
        </w:rPr>
      </w:pPr>
      <w:r w:rsidRPr="00DB1A38">
        <w:rPr>
          <w:rFonts w:ascii="Arial" w:hAnsi="Arial" w:cs="Arial"/>
        </w:rPr>
        <w:t>A pesar del complejo panorama, Cienfuegos conserva fortalezas competitivas que la posicionan como un destino con alto potencial para un turismo diferenciado y sostenible. Destacan:</w:t>
      </w:r>
    </w:p>
    <w:p w14:paraId="06E1C109" w14:textId="77777777" w:rsidR="008C0BF2" w:rsidRPr="00DB1A38" w:rsidRDefault="008C0BF2" w:rsidP="00DB1A38">
      <w:pPr>
        <w:spacing w:after="0" w:line="240" w:lineRule="auto"/>
        <w:jc w:val="both"/>
        <w:rPr>
          <w:rFonts w:ascii="Arial" w:hAnsi="Arial" w:cs="Arial"/>
        </w:rPr>
      </w:pPr>
      <w:r w:rsidRPr="00DB1A38">
        <w:rPr>
          <w:rFonts w:ascii="Arial" w:hAnsi="Arial" w:cs="Arial"/>
        </w:rPr>
        <w:t>1. Patrimonio urbano excepcional: el centro histórico, declarado Patrimonio Cultural de la Humanidad por la UNESCO en 2005, constituye un ejemplo singular del urbanismo hispano-francés del siglo XIX, con monumentos emblemáticos como el Paseo del Prado, el Parque Martí y la Catedral de la Purísima Concepción.</w:t>
      </w:r>
    </w:p>
    <w:p w14:paraId="1DB72148"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2. Atractivos naturales diversos: la bahía de Cienfuegos, el Jardín Botánico fundado en 1901, el Parque Natural El Nicho en el macizo de </w:t>
      </w:r>
      <w:proofErr w:type="spellStart"/>
      <w:r w:rsidRPr="00DB1A38">
        <w:rPr>
          <w:rFonts w:ascii="Arial" w:hAnsi="Arial" w:cs="Arial"/>
        </w:rPr>
        <w:t>Guamuhaya</w:t>
      </w:r>
      <w:proofErr w:type="spellEnd"/>
      <w:r w:rsidRPr="00DB1A38">
        <w:rPr>
          <w:rFonts w:ascii="Arial" w:hAnsi="Arial" w:cs="Arial"/>
        </w:rPr>
        <w:t xml:space="preserve"> y playas como Rancho Luna, aptas para el buceo y la recreación pasiva.</w:t>
      </w:r>
    </w:p>
    <w:p w14:paraId="158484AD"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3. Destino cultural emergente: la celebración de eventos como la Feria Internacional </w:t>
      </w:r>
      <w:proofErr w:type="spellStart"/>
      <w:r w:rsidRPr="00DB1A38">
        <w:rPr>
          <w:rFonts w:ascii="Arial" w:hAnsi="Arial" w:cs="Arial"/>
        </w:rPr>
        <w:t>Exposur</w:t>
      </w:r>
      <w:proofErr w:type="spellEnd"/>
      <w:r w:rsidRPr="00DB1A38">
        <w:rPr>
          <w:rFonts w:ascii="Arial" w:hAnsi="Arial" w:cs="Arial"/>
        </w:rPr>
        <w:t>, que en sus ediciones ha contado con alrededor de 100 empresas, 13 países participantes y se ha consolidado como un punto de encuentro para el intercambio comercial, tecnológico y cultural, con especial énfasis en el turismo local sostenible [1†L26-L32][1†L22-L25].</w:t>
      </w:r>
    </w:p>
    <w:p w14:paraId="17E29932" w14:textId="77777777" w:rsidR="008C0BF2" w:rsidRPr="00DB1A38" w:rsidRDefault="008C0BF2" w:rsidP="00DB1A38">
      <w:pPr>
        <w:spacing w:after="0" w:line="240" w:lineRule="auto"/>
        <w:jc w:val="both"/>
        <w:rPr>
          <w:rFonts w:ascii="Arial" w:hAnsi="Arial" w:cs="Arial"/>
        </w:rPr>
      </w:pPr>
    </w:p>
    <w:p w14:paraId="4C44568D" w14:textId="77777777" w:rsidR="008C0BF2" w:rsidRPr="00DB1A38" w:rsidRDefault="008C0BF2" w:rsidP="00DB1A38">
      <w:pPr>
        <w:spacing w:after="0" w:line="240" w:lineRule="auto"/>
        <w:jc w:val="both"/>
        <w:rPr>
          <w:rFonts w:ascii="Arial" w:hAnsi="Arial" w:cs="Arial"/>
          <w:b/>
          <w:bCs/>
        </w:rPr>
      </w:pPr>
      <w:r w:rsidRPr="00DB1A38">
        <w:rPr>
          <w:rFonts w:ascii="Arial" w:hAnsi="Arial" w:cs="Arial"/>
          <w:b/>
          <w:bCs/>
        </w:rPr>
        <w:t>II. El turismo cienfueguero como herramienta para la Agenda 2030</w:t>
      </w:r>
    </w:p>
    <w:p w14:paraId="00FA0A8C" w14:textId="77777777" w:rsidR="008C0BF2" w:rsidRPr="00DB1A38" w:rsidRDefault="008C0BF2" w:rsidP="00DB1A38">
      <w:pPr>
        <w:spacing w:after="0" w:line="240" w:lineRule="auto"/>
        <w:jc w:val="both"/>
        <w:rPr>
          <w:rFonts w:ascii="Arial" w:hAnsi="Arial" w:cs="Arial"/>
        </w:rPr>
      </w:pPr>
      <w:r w:rsidRPr="00DB1A38">
        <w:rPr>
          <w:rFonts w:ascii="Arial" w:hAnsi="Arial" w:cs="Arial"/>
        </w:rPr>
        <w:t>El turismo puede ser un vector fundamental para acelerar el progreso hacia múltiples ODS. A partir de las características del destino Cienfuegos, se identifican las siguientes alineaciones prioritarias:</w:t>
      </w:r>
    </w:p>
    <w:p w14:paraId="4C0B6BD3" w14:textId="77777777" w:rsidR="008C0BF2" w:rsidRPr="00DB1A38" w:rsidRDefault="008C0BF2" w:rsidP="00DB1A38">
      <w:pPr>
        <w:spacing w:after="0" w:line="240" w:lineRule="auto"/>
        <w:jc w:val="both"/>
        <w:rPr>
          <w:rFonts w:ascii="Arial" w:hAnsi="Arial" w:cs="Arial"/>
        </w:rPr>
      </w:pPr>
      <w:r w:rsidRPr="00DB1A38">
        <w:rPr>
          <w:rFonts w:ascii="Arial" w:hAnsi="Arial" w:cs="Arial"/>
        </w:rPr>
        <w:t>ODS 1: Fin de la pobreza</w:t>
      </w:r>
    </w:p>
    <w:p w14:paraId="0EA100CE" w14:textId="77777777" w:rsidR="008C0BF2" w:rsidRPr="00DB1A38" w:rsidRDefault="008C0BF2" w:rsidP="00DB1A38">
      <w:pPr>
        <w:spacing w:after="0" w:line="240" w:lineRule="auto"/>
        <w:jc w:val="both"/>
        <w:rPr>
          <w:rFonts w:ascii="Arial" w:hAnsi="Arial" w:cs="Arial"/>
        </w:rPr>
      </w:pPr>
      <w:r w:rsidRPr="00DB1A38">
        <w:rPr>
          <w:rFonts w:ascii="Arial" w:hAnsi="Arial" w:cs="Arial"/>
        </w:rPr>
        <w:t>El turismo sostenible genera empleo directo e indirecto, diversifica las economías locales y puede contribuir a la reducción de la pobreza en comunidades receptoras. En Cienfuegos, el sector turístico —estatal y privado— constituye una fuente de ingresos para cientos de familias. Sin embargo, la crisis actual ha puesto de manifiesto la vulnerabilidad de ese empleo y la urgencia de construir un modelo más resiliente.</w:t>
      </w:r>
    </w:p>
    <w:p w14:paraId="4D7A3C48" w14:textId="77777777" w:rsidR="008C0BF2" w:rsidRPr="00DB1A38" w:rsidRDefault="008C0BF2" w:rsidP="00DB1A38">
      <w:pPr>
        <w:spacing w:after="0" w:line="240" w:lineRule="auto"/>
        <w:jc w:val="both"/>
        <w:rPr>
          <w:rFonts w:ascii="Arial" w:hAnsi="Arial" w:cs="Arial"/>
        </w:rPr>
      </w:pPr>
      <w:r w:rsidRPr="00DB1A38">
        <w:rPr>
          <w:rFonts w:ascii="Arial" w:hAnsi="Arial" w:cs="Arial"/>
        </w:rPr>
        <w:t>ODS 8: Trabajo decente y crecimiento económico</w:t>
      </w:r>
    </w:p>
    <w:p w14:paraId="4E4B83C5" w14:textId="77777777" w:rsidR="008C0BF2" w:rsidRPr="00DB1A38" w:rsidRDefault="008C0BF2" w:rsidP="00DB1A38">
      <w:pPr>
        <w:spacing w:after="0" w:line="240" w:lineRule="auto"/>
        <w:jc w:val="both"/>
        <w:rPr>
          <w:rFonts w:ascii="Arial" w:hAnsi="Arial" w:cs="Arial"/>
        </w:rPr>
      </w:pPr>
      <w:r w:rsidRPr="00DB1A38">
        <w:rPr>
          <w:rFonts w:ascii="Arial" w:hAnsi="Arial" w:cs="Arial"/>
        </w:rPr>
        <w:t>La apuesta por la calidad en el empleo turístico, la formación continua y el fortalecimiento de las micro, pequeñas y medianas empresas (MIPYMES) turísticas es una línea estratégica para el desarrollo local, siempre que se realice con estándares de trabajo decente y equidad de género.</w:t>
      </w:r>
    </w:p>
    <w:p w14:paraId="3C1FA87C" w14:textId="77777777" w:rsidR="008C0BF2" w:rsidRPr="00DB1A38" w:rsidRDefault="008C0BF2" w:rsidP="00DB1A38">
      <w:pPr>
        <w:spacing w:after="0" w:line="240" w:lineRule="auto"/>
        <w:jc w:val="both"/>
        <w:rPr>
          <w:rFonts w:ascii="Arial" w:hAnsi="Arial" w:cs="Arial"/>
        </w:rPr>
      </w:pPr>
      <w:r w:rsidRPr="00DB1A38">
        <w:rPr>
          <w:rFonts w:ascii="Arial" w:hAnsi="Arial" w:cs="Arial"/>
        </w:rPr>
        <w:t>ODS 11: Ciudades y comunidades sostenibles</w:t>
      </w:r>
    </w:p>
    <w:p w14:paraId="0B63790E" w14:textId="77777777" w:rsidR="008C0BF2" w:rsidRPr="00DB1A38" w:rsidRDefault="008C0BF2" w:rsidP="00DB1A38">
      <w:pPr>
        <w:spacing w:after="0" w:line="240" w:lineRule="auto"/>
        <w:jc w:val="both"/>
        <w:rPr>
          <w:rFonts w:ascii="Arial" w:hAnsi="Arial" w:cs="Arial"/>
        </w:rPr>
      </w:pPr>
      <w:r w:rsidRPr="00DB1A38">
        <w:rPr>
          <w:rFonts w:ascii="Arial" w:hAnsi="Arial" w:cs="Arial"/>
        </w:rPr>
        <w:t>Cienfuegos, como ciudad Patrimonio de la Humanidad, enfrenta el desafío de conciliar la conservación de su centro histórico y sus barrios tradicionales con el desarrollo turístico. La inversión en rehabilitación de edificios de valor patrimonial, como la que promueve el macroproyecto con la Agencia Francesa de Desarrollo (AFD), es una oportunidad para revitalizar el área histórica, mejorar las condiciones de vida de sus habitantes y fortalecer la identidad local [14†L11-L17].</w:t>
      </w:r>
    </w:p>
    <w:p w14:paraId="4AA0FE54" w14:textId="77777777" w:rsidR="008C0BF2" w:rsidRPr="00DB1A38" w:rsidRDefault="008C0BF2" w:rsidP="00DB1A38">
      <w:pPr>
        <w:spacing w:after="0" w:line="240" w:lineRule="auto"/>
        <w:jc w:val="both"/>
        <w:rPr>
          <w:rFonts w:ascii="Arial" w:hAnsi="Arial" w:cs="Arial"/>
        </w:rPr>
      </w:pPr>
      <w:r w:rsidRPr="00DB1A38">
        <w:rPr>
          <w:rFonts w:ascii="Arial" w:hAnsi="Arial" w:cs="Arial"/>
        </w:rPr>
        <w:t>ODS 12: Producción y consumo responsables</w:t>
      </w:r>
    </w:p>
    <w:p w14:paraId="3097E1B7"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El turismo sostenible fomenta prácticas responsables con el medio ambiente y el patrimonio. En Cienfuegos, la propuesta integral de un plan de acciones para </w:t>
      </w:r>
      <w:r w:rsidRPr="00DB1A38">
        <w:rPr>
          <w:rFonts w:ascii="Arial" w:hAnsi="Arial" w:cs="Arial"/>
        </w:rPr>
        <w:lastRenderedPageBreak/>
        <w:t>potenciar el turismo local sostenible, elaborada por investigadoras de la Universidad de Cienfuegos, define un procedimiento metodológico que combina varias herramientas científicas para determinar la situación actual del turismo local sostenible en cada territorio, en total alineación con las Estrategias de Desarrollo Territorial y con la actualización del Modelo Económico y Social Cubano [10†L10-L26].</w:t>
      </w:r>
    </w:p>
    <w:p w14:paraId="1B024C63" w14:textId="77777777" w:rsidR="008C0BF2" w:rsidRPr="00DB1A38" w:rsidRDefault="008C0BF2" w:rsidP="00DB1A38">
      <w:pPr>
        <w:spacing w:after="0" w:line="240" w:lineRule="auto"/>
        <w:jc w:val="both"/>
        <w:rPr>
          <w:rFonts w:ascii="Arial" w:hAnsi="Arial" w:cs="Arial"/>
        </w:rPr>
      </w:pPr>
      <w:r w:rsidRPr="00DB1A38">
        <w:rPr>
          <w:rFonts w:ascii="Arial" w:hAnsi="Arial" w:cs="Arial"/>
        </w:rPr>
        <w:t>ODS 14: Vida submarina</w:t>
      </w:r>
    </w:p>
    <w:p w14:paraId="250515BC" w14:textId="77777777" w:rsidR="008C0BF2" w:rsidRPr="00DB1A38" w:rsidRDefault="008C0BF2" w:rsidP="00DB1A38">
      <w:pPr>
        <w:spacing w:after="0" w:line="240" w:lineRule="auto"/>
        <w:jc w:val="both"/>
        <w:rPr>
          <w:rFonts w:ascii="Arial" w:hAnsi="Arial" w:cs="Arial"/>
        </w:rPr>
      </w:pPr>
      <w:r w:rsidRPr="00DB1A38">
        <w:rPr>
          <w:rFonts w:ascii="Arial" w:hAnsi="Arial" w:cs="Arial"/>
        </w:rPr>
        <w:t>La bahía de Cienfuegos ha sido impactada por el incremento de la turbidez de las aguas, la acumulación de residuos y la degradación paisajística asociada al turismo [2†L17-L19]. La implementación de buenas prácticas ambientales, la educación ambiental de turistas y prestadores de servicios, y el desarrollo de un turismo náutico responsable son acciones necesarias para avanzar en la protección de este ecosistema marino-costero.</w:t>
      </w:r>
    </w:p>
    <w:p w14:paraId="08708886" w14:textId="77777777" w:rsidR="008C0BF2" w:rsidRPr="00DB1A38" w:rsidRDefault="008C0BF2" w:rsidP="00DB1A38">
      <w:pPr>
        <w:spacing w:after="0" w:line="240" w:lineRule="auto"/>
        <w:jc w:val="both"/>
        <w:rPr>
          <w:rFonts w:ascii="Arial" w:hAnsi="Arial" w:cs="Arial"/>
        </w:rPr>
      </w:pPr>
      <w:r w:rsidRPr="00DB1A38">
        <w:rPr>
          <w:rFonts w:ascii="Arial" w:hAnsi="Arial" w:cs="Arial"/>
        </w:rPr>
        <w:t>ODS 17: Alianzas para lograr los objetivos</w:t>
      </w:r>
    </w:p>
    <w:p w14:paraId="032E8086" w14:textId="77777777" w:rsidR="008C0BF2" w:rsidRPr="00DB1A38" w:rsidRDefault="008C0BF2" w:rsidP="00DB1A38">
      <w:pPr>
        <w:spacing w:after="0" w:line="240" w:lineRule="auto"/>
        <w:jc w:val="both"/>
        <w:rPr>
          <w:rFonts w:ascii="Arial" w:hAnsi="Arial" w:cs="Arial"/>
        </w:rPr>
      </w:pPr>
      <w:r w:rsidRPr="00DB1A38">
        <w:rPr>
          <w:rFonts w:ascii="Arial" w:hAnsi="Arial" w:cs="Arial"/>
        </w:rPr>
        <w:t>La colaboración entre actores es indispensable para la localización de los ODS. La Universidad de Cienfuegos, a través de su Centro de Estudios en Desarrollo Local y Gestión Empresarial (CEDLE) y de sus alianzas con agencias internacionales como la AFD, desempeña un papel central en la articulación de actores y el desarrollo de proyectos de desarrollo territorial y turístico [14†L18-L21].</w:t>
      </w:r>
    </w:p>
    <w:p w14:paraId="2A053B7F" w14:textId="77777777" w:rsidR="008C0BF2" w:rsidRPr="00DB1A38" w:rsidRDefault="008C0BF2" w:rsidP="00DB1A38">
      <w:pPr>
        <w:spacing w:after="0" w:line="240" w:lineRule="auto"/>
        <w:jc w:val="both"/>
        <w:rPr>
          <w:rFonts w:ascii="Arial" w:hAnsi="Arial" w:cs="Arial"/>
        </w:rPr>
      </w:pPr>
    </w:p>
    <w:p w14:paraId="016F252D" w14:textId="77777777" w:rsidR="008C0BF2" w:rsidRDefault="008C0BF2" w:rsidP="00DB1A38">
      <w:pPr>
        <w:spacing w:after="0" w:line="240" w:lineRule="auto"/>
        <w:jc w:val="both"/>
        <w:rPr>
          <w:rFonts w:ascii="Arial" w:hAnsi="Arial" w:cs="Arial"/>
        </w:rPr>
      </w:pPr>
      <w:r w:rsidRPr="00DB1A38">
        <w:rPr>
          <w:rFonts w:ascii="Arial" w:hAnsi="Arial" w:cs="Arial"/>
        </w:rPr>
        <w:t>La Universidad de Cienfuegos Carlos Rafael Rodríguez ha desplegado una importante labor de investigación aplicada, formación de capacidades y articulación de actores en favor del turismo sostenible local, que merece ser destacada y fortalecida en el contexto de crisis.</w:t>
      </w:r>
    </w:p>
    <w:p w14:paraId="757684FE" w14:textId="77777777" w:rsidR="00D30B41" w:rsidRPr="00DB1A38" w:rsidRDefault="00D30B41" w:rsidP="00DB1A38">
      <w:pPr>
        <w:spacing w:after="0" w:line="240" w:lineRule="auto"/>
        <w:jc w:val="both"/>
        <w:rPr>
          <w:rFonts w:ascii="Arial" w:hAnsi="Arial" w:cs="Arial"/>
        </w:rPr>
      </w:pPr>
    </w:p>
    <w:p w14:paraId="1D32EEDB" w14:textId="405CFD68" w:rsidR="008C0BF2" w:rsidRPr="00D30B41" w:rsidRDefault="00D30B41" w:rsidP="00DB1A38">
      <w:pPr>
        <w:spacing w:after="0" w:line="240" w:lineRule="auto"/>
        <w:jc w:val="both"/>
        <w:rPr>
          <w:rFonts w:ascii="Arial" w:hAnsi="Arial" w:cs="Arial"/>
          <w:b/>
          <w:bCs/>
        </w:rPr>
      </w:pPr>
      <w:r w:rsidRPr="00D30B41">
        <w:rPr>
          <w:rFonts w:ascii="Arial" w:hAnsi="Arial" w:cs="Arial"/>
          <w:b/>
          <w:bCs/>
        </w:rPr>
        <w:t xml:space="preserve">III. </w:t>
      </w:r>
      <w:r w:rsidR="008C0BF2" w:rsidRPr="00D30B41">
        <w:rPr>
          <w:rFonts w:ascii="Arial" w:hAnsi="Arial" w:cs="Arial"/>
          <w:b/>
          <w:bCs/>
        </w:rPr>
        <w:t xml:space="preserve"> Investigaci</w:t>
      </w:r>
      <w:r w:rsidRPr="00D30B41">
        <w:rPr>
          <w:rFonts w:ascii="Arial" w:hAnsi="Arial" w:cs="Arial"/>
          <w:b/>
          <w:bCs/>
        </w:rPr>
        <w:t xml:space="preserve">ones </w:t>
      </w:r>
      <w:r w:rsidR="008C0BF2" w:rsidRPr="00D30B41">
        <w:rPr>
          <w:rFonts w:ascii="Arial" w:hAnsi="Arial" w:cs="Arial"/>
          <w:b/>
          <w:bCs/>
        </w:rPr>
        <w:t>aplicada</w:t>
      </w:r>
      <w:r w:rsidRPr="00D30B41">
        <w:rPr>
          <w:rFonts w:ascii="Arial" w:hAnsi="Arial" w:cs="Arial"/>
          <w:b/>
          <w:bCs/>
        </w:rPr>
        <w:t>s</w:t>
      </w:r>
    </w:p>
    <w:p w14:paraId="554EC6C6" w14:textId="77777777" w:rsidR="008C0BF2" w:rsidRPr="00DB1A38" w:rsidRDefault="008C0BF2" w:rsidP="00DB1A38">
      <w:pPr>
        <w:spacing w:after="0" w:line="240" w:lineRule="auto"/>
        <w:jc w:val="both"/>
        <w:rPr>
          <w:rFonts w:ascii="Arial" w:hAnsi="Arial" w:cs="Arial"/>
        </w:rPr>
      </w:pPr>
      <w:r w:rsidRPr="00DB1A38">
        <w:rPr>
          <w:rFonts w:ascii="Arial" w:hAnsi="Arial" w:cs="Arial"/>
        </w:rPr>
        <w:t>Investigadoras del Departamento de Dirección y Gestión Turística han desarrollado propuestas metodológicas concretas. Rivero Galván, Cabrera Álvarez y Portela Peñalver (2024) propusieron un plan de acciones para potenciar el turismo local sostenible, que parte de un diagnóstico del sector en la provincia para identificar potencialidades, problemas y limitaciones [10†L15-L26]. En la misma línea, Navarro Patrick (2024) propuso indicadores de turismo local sostenible para comunidades costeras, una herramienta valiosa para la toma de decisiones de los actores locales. Asimismo, Reina Gallego, Fuentes Rodríguez y Pérez Recarey (2024) analizaron los impactos del turismo en la bahía de Cienfuegos y la influencia de la educación ambiental [2†L17-L19].</w:t>
      </w:r>
    </w:p>
    <w:p w14:paraId="259047AE" w14:textId="77777777" w:rsidR="008C0BF2" w:rsidRPr="00DB1A38" w:rsidRDefault="008C0BF2" w:rsidP="00DB1A38">
      <w:pPr>
        <w:spacing w:after="0" w:line="240" w:lineRule="auto"/>
        <w:jc w:val="both"/>
        <w:rPr>
          <w:rFonts w:ascii="Arial" w:hAnsi="Arial" w:cs="Arial"/>
        </w:rPr>
      </w:pPr>
      <w:r w:rsidRPr="00DB1A38">
        <w:rPr>
          <w:rFonts w:ascii="Arial" w:hAnsi="Arial" w:cs="Arial"/>
        </w:rPr>
        <w:t>Estos trabajos demuestran que la universidad cuenta con el capital humano y la capacidad científica necesaria para orientar al sector turístico cienfueguero en su transición hacia la sostenibilidad, incluso en condiciones de crisis.</w:t>
      </w:r>
    </w:p>
    <w:p w14:paraId="2B1AB188" w14:textId="77777777" w:rsidR="008C0BF2" w:rsidRPr="00DB1A38" w:rsidRDefault="008C0BF2" w:rsidP="00DB1A38">
      <w:pPr>
        <w:spacing w:after="0" w:line="240" w:lineRule="auto"/>
        <w:jc w:val="both"/>
        <w:rPr>
          <w:rFonts w:ascii="Arial" w:hAnsi="Arial" w:cs="Arial"/>
        </w:rPr>
      </w:pPr>
    </w:p>
    <w:p w14:paraId="3A1987A6" w14:textId="77777777" w:rsidR="008C0BF2" w:rsidRPr="00DB1A38" w:rsidRDefault="008C0BF2" w:rsidP="00DB1A38">
      <w:pPr>
        <w:spacing w:after="0" w:line="240" w:lineRule="auto"/>
        <w:jc w:val="both"/>
        <w:rPr>
          <w:rFonts w:ascii="Arial" w:hAnsi="Arial" w:cs="Arial"/>
        </w:rPr>
      </w:pPr>
      <w:r w:rsidRPr="00DB1A38">
        <w:rPr>
          <w:rFonts w:ascii="Arial" w:hAnsi="Arial" w:cs="Arial"/>
        </w:rPr>
        <w:t>3.2 Cooperación internacional</w:t>
      </w:r>
    </w:p>
    <w:p w14:paraId="3D44BA37"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En alianza con la Agencia Francesa de Desarrollo (AFD), la universidad participa en un macroproyecto de desarrollo territorial y turístico sostenible en los ocho municipios de Cienfuegos. El proyecto promueve el desarrollo económico de la provincia mediante el impulso del turismo, la conversión y rehabilitación de edificios de valor patrimonial en el centro histórico, la regeneración urbana del frente marítimo y la conexión entre el centro histórico y el mar [14†L11-L17]. </w:t>
      </w:r>
      <w:r w:rsidRPr="00DB1A38">
        <w:rPr>
          <w:rFonts w:ascii="Arial" w:hAnsi="Arial" w:cs="Arial"/>
        </w:rPr>
        <w:lastRenderedPageBreak/>
        <w:t>Adicionalmente, se han desarrollado perfiles complementarios de inversión para proyectos regionales, como el Centro para la Gestión del Conocimiento y la Innovación, en alianza con la Universidad de Cienfuegos, y el Centro para la Gestión de Cuencas Hidrográficas [14†L18-L21].</w:t>
      </w:r>
    </w:p>
    <w:p w14:paraId="2F5733A5" w14:textId="77777777" w:rsidR="008C0BF2" w:rsidRPr="00DB1A38" w:rsidRDefault="008C0BF2" w:rsidP="00DB1A38">
      <w:pPr>
        <w:spacing w:after="0" w:line="240" w:lineRule="auto"/>
        <w:jc w:val="both"/>
        <w:rPr>
          <w:rFonts w:ascii="Arial" w:hAnsi="Arial" w:cs="Arial"/>
        </w:rPr>
      </w:pPr>
      <w:r w:rsidRPr="00DB1A38">
        <w:rPr>
          <w:rFonts w:ascii="Arial" w:hAnsi="Arial" w:cs="Arial"/>
        </w:rPr>
        <w:t>3.3 Formación de capacidades y gobernanza territorial</w:t>
      </w:r>
    </w:p>
    <w:p w14:paraId="232ECE70" w14:textId="77777777" w:rsidR="008C0BF2" w:rsidRPr="00DB1A38" w:rsidRDefault="008C0BF2" w:rsidP="00DB1A38">
      <w:pPr>
        <w:spacing w:after="0" w:line="240" w:lineRule="auto"/>
        <w:jc w:val="both"/>
        <w:rPr>
          <w:rFonts w:ascii="Arial" w:hAnsi="Arial" w:cs="Arial"/>
        </w:rPr>
      </w:pPr>
      <w:r w:rsidRPr="00DB1A38">
        <w:rPr>
          <w:rFonts w:ascii="Arial" w:hAnsi="Arial" w:cs="Arial"/>
        </w:rPr>
        <w:t>La Universidad ha formado, a través del CEDLE y del Programa de Doctorado en Desarrollo Local y Territorial, capacidades para la planificación estratégica y la gestión de proyectos. En 2025 se publicó un estudio sobre planificación estratégica y gobernanza territorial que identifica las principales potencialidades y restricciones del esquema de planificación territorial provincial, los conflictos, las complementariedades interterritoriales y multinivel, y los problemas estructurales del desarrollo territorial. Este conocimiento es crucial para orientar la toma de decisiones en tiempos de crisis.</w:t>
      </w:r>
    </w:p>
    <w:p w14:paraId="55B25336" w14:textId="77777777" w:rsidR="008C0BF2" w:rsidRPr="00DB1A38" w:rsidRDefault="008C0BF2" w:rsidP="00DB1A38">
      <w:pPr>
        <w:spacing w:after="0" w:line="240" w:lineRule="auto"/>
        <w:jc w:val="both"/>
        <w:rPr>
          <w:rFonts w:ascii="Arial" w:hAnsi="Arial" w:cs="Arial"/>
        </w:rPr>
      </w:pPr>
    </w:p>
    <w:p w14:paraId="31A40943" w14:textId="77777777" w:rsidR="008C0BF2" w:rsidRPr="00D30B41" w:rsidRDefault="008C0BF2" w:rsidP="00DB1A38">
      <w:pPr>
        <w:spacing w:after="0" w:line="240" w:lineRule="auto"/>
        <w:jc w:val="both"/>
        <w:rPr>
          <w:rFonts w:ascii="Arial" w:hAnsi="Arial" w:cs="Arial"/>
          <w:b/>
          <w:bCs/>
        </w:rPr>
      </w:pPr>
      <w:r w:rsidRPr="00D30B41">
        <w:rPr>
          <w:rFonts w:ascii="Arial" w:hAnsi="Arial" w:cs="Arial"/>
          <w:b/>
          <w:bCs/>
        </w:rPr>
        <w:t>IV. Estrategias para un turismo sostenible en contexto de crisis</w:t>
      </w:r>
    </w:p>
    <w:p w14:paraId="1FF24652" w14:textId="77777777" w:rsidR="008C0BF2" w:rsidRPr="00DB1A38" w:rsidRDefault="008C0BF2" w:rsidP="00DB1A38">
      <w:pPr>
        <w:spacing w:after="0" w:line="240" w:lineRule="auto"/>
        <w:jc w:val="both"/>
        <w:rPr>
          <w:rFonts w:ascii="Arial" w:hAnsi="Arial" w:cs="Arial"/>
        </w:rPr>
      </w:pPr>
      <w:r w:rsidRPr="00DB1A38">
        <w:rPr>
          <w:rFonts w:ascii="Arial" w:hAnsi="Arial" w:cs="Arial"/>
        </w:rPr>
        <w:t>4.1 Eficiencia energética y energías renovables</w:t>
      </w:r>
    </w:p>
    <w:p w14:paraId="5965B5EC" w14:textId="77777777" w:rsidR="008C0BF2" w:rsidRPr="00DB1A38" w:rsidRDefault="008C0BF2" w:rsidP="00DB1A38">
      <w:pPr>
        <w:spacing w:after="0" w:line="240" w:lineRule="auto"/>
        <w:jc w:val="both"/>
        <w:rPr>
          <w:rFonts w:ascii="Arial" w:hAnsi="Arial" w:cs="Arial"/>
        </w:rPr>
      </w:pPr>
      <w:r w:rsidRPr="00DB1A38">
        <w:rPr>
          <w:rFonts w:ascii="Arial" w:hAnsi="Arial" w:cs="Arial"/>
        </w:rPr>
        <w:t>La dependencia de combustibles fósiles es la principal vulnerabilidad del sector. Las inversiones ya iniciadas en paneles solares, lámparas fotovoltaicas y cargadores eléctricos deben ampliarse con criterios de diseño resiliente: sistemas de almacenamiento energético (baterías), microrredes inteligentes y tecnologías de bajo consumo en iluminación, climatización y equipamiento de cocina.</w:t>
      </w:r>
    </w:p>
    <w:p w14:paraId="2E00F487" w14:textId="77777777" w:rsidR="008C0BF2" w:rsidRPr="00DB1A38" w:rsidRDefault="008C0BF2" w:rsidP="00DB1A38">
      <w:pPr>
        <w:spacing w:after="0" w:line="240" w:lineRule="auto"/>
        <w:jc w:val="both"/>
        <w:rPr>
          <w:rFonts w:ascii="Arial" w:hAnsi="Arial" w:cs="Arial"/>
        </w:rPr>
      </w:pPr>
    </w:p>
    <w:p w14:paraId="75B1B80E" w14:textId="77777777" w:rsidR="008C0BF2" w:rsidRPr="00DB1A38" w:rsidRDefault="008C0BF2" w:rsidP="00DB1A38">
      <w:pPr>
        <w:spacing w:after="0" w:line="240" w:lineRule="auto"/>
        <w:jc w:val="both"/>
        <w:rPr>
          <w:rFonts w:ascii="Arial" w:hAnsi="Arial" w:cs="Arial"/>
        </w:rPr>
      </w:pPr>
      <w:r w:rsidRPr="00DB1A38">
        <w:rPr>
          <w:rFonts w:ascii="Arial" w:hAnsi="Arial" w:cs="Arial"/>
        </w:rPr>
        <w:t>4.2 Turismo de proximidad y experiencias locales auténticas</w:t>
      </w:r>
    </w:p>
    <w:p w14:paraId="1175039A" w14:textId="77777777" w:rsidR="008C0BF2" w:rsidRPr="00DB1A38" w:rsidRDefault="008C0BF2" w:rsidP="00DB1A38">
      <w:pPr>
        <w:spacing w:after="0" w:line="240" w:lineRule="auto"/>
        <w:jc w:val="both"/>
        <w:rPr>
          <w:rFonts w:ascii="Arial" w:hAnsi="Arial" w:cs="Arial"/>
        </w:rPr>
      </w:pPr>
      <w:r w:rsidRPr="00DB1A38">
        <w:rPr>
          <w:rFonts w:ascii="Arial" w:hAnsi="Arial" w:cs="Arial"/>
        </w:rPr>
        <w:t>Frente a la caída del turismo internacional, el turismo doméstico y de proximidad se convierte en un mercado alternativo. Las rutas de naturaleza, el agroturismo en Cumanayagua y Aguada de Pasajeros, el turismo cultural vinculado a la historia local y las tradiciones (como la figura de Benny Moré), así como el turismo de salud y bienestar, pueden dinamizar la economía local con menor dependencia de conectividad aérea externa.</w:t>
      </w:r>
    </w:p>
    <w:p w14:paraId="5117D5A7" w14:textId="77777777" w:rsidR="008C0BF2" w:rsidRPr="00DB1A38" w:rsidRDefault="008C0BF2" w:rsidP="00DB1A38">
      <w:pPr>
        <w:spacing w:after="0" w:line="240" w:lineRule="auto"/>
        <w:jc w:val="both"/>
        <w:rPr>
          <w:rFonts w:ascii="Arial" w:hAnsi="Arial" w:cs="Arial"/>
        </w:rPr>
      </w:pPr>
    </w:p>
    <w:p w14:paraId="1A6C560A" w14:textId="77777777" w:rsidR="008C0BF2" w:rsidRPr="00DB1A38" w:rsidRDefault="008C0BF2" w:rsidP="00DB1A38">
      <w:pPr>
        <w:spacing w:after="0" w:line="240" w:lineRule="auto"/>
        <w:jc w:val="both"/>
        <w:rPr>
          <w:rFonts w:ascii="Arial" w:hAnsi="Arial" w:cs="Arial"/>
        </w:rPr>
      </w:pPr>
      <w:r w:rsidRPr="00DB1A38">
        <w:rPr>
          <w:rFonts w:ascii="Arial" w:hAnsi="Arial" w:cs="Arial"/>
        </w:rPr>
        <w:t>4.3 Fortalecimiento de los emprendimientos privados</w:t>
      </w:r>
    </w:p>
    <w:p w14:paraId="728C4BFC" w14:textId="77777777" w:rsidR="008C0BF2" w:rsidRPr="00DB1A38" w:rsidRDefault="008C0BF2" w:rsidP="00DB1A38">
      <w:pPr>
        <w:spacing w:after="0" w:line="240" w:lineRule="auto"/>
        <w:jc w:val="both"/>
        <w:rPr>
          <w:rFonts w:ascii="Arial" w:hAnsi="Arial" w:cs="Arial"/>
        </w:rPr>
      </w:pPr>
      <w:r w:rsidRPr="00DB1A38">
        <w:rPr>
          <w:rFonts w:ascii="Arial" w:hAnsi="Arial" w:cs="Arial"/>
        </w:rPr>
        <w:t>Las casas particulares, pequeños restaurantes y guías de turismo locales son actores esenciales del desarrollo turístico local. La universidad puede desempeñar un papel estratégico en su acompañamiento mediante programas de capacitación en gestión empresarial, marketing digital de bajo costo, estándares de calidad y prácticas sostenibles.</w:t>
      </w:r>
    </w:p>
    <w:p w14:paraId="0B4BEAB3" w14:textId="77777777" w:rsidR="008C0BF2" w:rsidRPr="00DB1A38" w:rsidRDefault="008C0BF2" w:rsidP="00DB1A38">
      <w:pPr>
        <w:spacing w:after="0" w:line="240" w:lineRule="auto"/>
        <w:jc w:val="both"/>
        <w:rPr>
          <w:rFonts w:ascii="Arial" w:hAnsi="Arial" w:cs="Arial"/>
        </w:rPr>
      </w:pPr>
    </w:p>
    <w:p w14:paraId="7A779B15" w14:textId="77777777" w:rsidR="008C0BF2" w:rsidRPr="00DB1A38" w:rsidRDefault="008C0BF2" w:rsidP="00DB1A38">
      <w:pPr>
        <w:spacing w:after="0" w:line="240" w:lineRule="auto"/>
        <w:jc w:val="both"/>
        <w:rPr>
          <w:rFonts w:ascii="Arial" w:hAnsi="Arial" w:cs="Arial"/>
        </w:rPr>
      </w:pPr>
      <w:r w:rsidRPr="00DB1A38">
        <w:rPr>
          <w:rFonts w:ascii="Arial" w:hAnsi="Arial" w:cs="Arial"/>
        </w:rPr>
        <w:t>4.4 Educación ambiental y turística</w:t>
      </w:r>
    </w:p>
    <w:p w14:paraId="6EEB8C31" w14:textId="77777777" w:rsidR="008C0BF2" w:rsidRPr="00DB1A38" w:rsidRDefault="008C0BF2" w:rsidP="00DB1A38">
      <w:pPr>
        <w:spacing w:after="0" w:line="240" w:lineRule="auto"/>
        <w:jc w:val="both"/>
        <w:rPr>
          <w:rFonts w:ascii="Arial" w:hAnsi="Arial" w:cs="Arial"/>
        </w:rPr>
      </w:pPr>
      <w:r w:rsidRPr="00DB1A38">
        <w:rPr>
          <w:rFonts w:ascii="Arial" w:hAnsi="Arial" w:cs="Arial"/>
        </w:rPr>
        <w:t>La formación de ciudadanos, estudiantes y trabajadores del sector en prácticas ambientales responsables y en la valoración del patrimonio local es una inversión de largo plazo que debe iniciarse desde ahora, incluso con recursos limitados, mediante campañas comunitarias, materiales educativos accesibles y talleres participativos.</w:t>
      </w:r>
    </w:p>
    <w:p w14:paraId="5D6E2025" w14:textId="77777777" w:rsidR="008C0BF2" w:rsidRPr="00DB1A38" w:rsidRDefault="008C0BF2" w:rsidP="00DB1A38">
      <w:pPr>
        <w:spacing w:after="0" w:line="240" w:lineRule="auto"/>
        <w:jc w:val="both"/>
        <w:rPr>
          <w:rFonts w:ascii="Arial" w:hAnsi="Arial" w:cs="Arial"/>
        </w:rPr>
      </w:pPr>
    </w:p>
    <w:p w14:paraId="64D41E74" w14:textId="77777777" w:rsidR="008C0BF2" w:rsidRPr="00DB1A38" w:rsidRDefault="008C0BF2" w:rsidP="00DB1A38">
      <w:pPr>
        <w:spacing w:after="0" w:line="240" w:lineRule="auto"/>
        <w:jc w:val="both"/>
        <w:rPr>
          <w:rFonts w:ascii="Arial" w:hAnsi="Arial" w:cs="Arial"/>
        </w:rPr>
      </w:pPr>
      <w:r w:rsidRPr="00DB1A38">
        <w:rPr>
          <w:rFonts w:ascii="Arial" w:hAnsi="Arial" w:cs="Arial"/>
        </w:rPr>
        <w:t>4.5 Monitoreo participativo con indicadores ODS</w:t>
      </w:r>
    </w:p>
    <w:p w14:paraId="1D55D5AC" w14:textId="77777777" w:rsidR="008C0BF2" w:rsidRPr="00DB1A38" w:rsidRDefault="008C0BF2" w:rsidP="00DB1A38">
      <w:pPr>
        <w:spacing w:after="0" w:line="240" w:lineRule="auto"/>
        <w:jc w:val="both"/>
        <w:rPr>
          <w:rFonts w:ascii="Arial" w:hAnsi="Arial" w:cs="Arial"/>
        </w:rPr>
      </w:pPr>
      <w:r w:rsidRPr="00DB1A38">
        <w:rPr>
          <w:rFonts w:ascii="Arial" w:hAnsi="Arial" w:cs="Arial"/>
        </w:rPr>
        <w:t xml:space="preserve">La propuesta de indicadores de turismo local sostenible realizada por Navarro Patrick puede constituir la base de un sistema de monitoreo participativo que </w:t>
      </w:r>
      <w:r w:rsidRPr="00DB1A38">
        <w:rPr>
          <w:rFonts w:ascii="Arial" w:hAnsi="Arial" w:cs="Arial"/>
        </w:rPr>
        <w:lastRenderedPageBreak/>
        <w:t>involucre a la universidad, las autoridades locales, los empresarios turísticos y las comunidades receptoras. El seguimiento periódico de esos indicadores permitirá ajustar las políticas y medir el progreso hacia los ODS, incluso en condiciones adversas.</w:t>
      </w:r>
    </w:p>
    <w:p w14:paraId="00F2DA24" w14:textId="77777777" w:rsidR="008C0BF2" w:rsidRPr="00DB1A38" w:rsidRDefault="008C0BF2" w:rsidP="00DB1A38">
      <w:pPr>
        <w:spacing w:after="0" w:line="240" w:lineRule="auto"/>
        <w:jc w:val="both"/>
        <w:rPr>
          <w:rFonts w:ascii="Arial" w:hAnsi="Arial" w:cs="Arial"/>
        </w:rPr>
      </w:pPr>
    </w:p>
    <w:p w14:paraId="72764BB6" w14:textId="77777777" w:rsidR="008C0BF2" w:rsidRPr="00DB1A38" w:rsidRDefault="008C0BF2" w:rsidP="00DB1A38">
      <w:pPr>
        <w:spacing w:after="0" w:line="240" w:lineRule="auto"/>
        <w:jc w:val="both"/>
        <w:rPr>
          <w:rFonts w:ascii="Arial" w:hAnsi="Arial" w:cs="Arial"/>
          <w:b/>
          <w:bCs/>
        </w:rPr>
      </w:pPr>
      <w:r w:rsidRPr="00DB1A38">
        <w:rPr>
          <w:rFonts w:ascii="Arial" w:hAnsi="Arial" w:cs="Arial"/>
          <w:b/>
          <w:bCs/>
        </w:rPr>
        <w:t>V. Conclusiones</w:t>
      </w:r>
    </w:p>
    <w:p w14:paraId="1A282617" w14:textId="77777777" w:rsidR="008C0BF2" w:rsidRPr="00DB1A38" w:rsidRDefault="008C0BF2" w:rsidP="00DB1A38">
      <w:pPr>
        <w:spacing w:after="0" w:line="240" w:lineRule="auto"/>
        <w:jc w:val="both"/>
        <w:rPr>
          <w:rFonts w:ascii="Arial" w:hAnsi="Arial" w:cs="Arial"/>
        </w:rPr>
      </w:pPr>
      <w:r w:rsidRPr="00DB1A38">
        <w:rPr>
          <w:rFonts w:ascii="Arial" w:hAnsi="Arial" w:cs="Arial"/>
        </w:rPr>
        <w:t>El turismo en Cienfuegos se enfrenta en 2026 a una prueba de fuego. La crisis energética, el bloqueo económico y la caída del 48% de las llegadas internacionales en el primer trimestre configuran un escenario de extrema adversidad. Sin embargo, el territorio cuenta con fortalezas patrimoniales y naturales extraordinarias, con una comunidad universitaria comprometida con la investigación aplicada y con un marco estructurante —la Agenda 2030 y el PNDES de Cuba— que orienta la acción hacia la sostenibilidad.</w:t>
      </w:r>
    </w:p>
    <w:p w14:paraId="60100209" w14:textId="77777777" w:rsidR="008C0BF2" w:rsidRPr="00DB1A38" w:rsidRDefault="008C0BF2" w:rsidP="00DB1A38">
      <w:pPr>
        <w:spacing w:after="0" w:line="240" w:lineRule="auto"/>
        <w:jc w:val="both"/>
        <w:rPr>
          <w:rFonts w:ascii="Arial" w:hAnsi="Arial" w:cs="Arial"/>
        </w:rPr>
      </w:pPr>
      <w:r w:rsidRPr="00DB1A38">
        <w:rPr>
          <w:rFonts w:ascii="Arial" w:hAnsi="Arial" w:cs="Arial"/>
        </w:rPr>
        <w:t>Las inversiones en curso en los hoteles Jagua y La Punta, la instalación de sistemas fotovoltaicos y el macroproyecto con la AFD son pasos importantes en la dirección correcta, pero deben complementarse con estrategias de eficiencia energética, promoción del turismo de proximidad, fortalecimiento de los emprendimientos privados, educación ambiental y monitoreo participativo con indicadores ODS.</w:t>
      </w:r>
    </w:p>
    <w:p w14:paraId="4B12CC16" w14:textId="77777777" w:rsidR="008C0BF2" w:rsidRPr="00DB1A38" w:rsidRDefault="008C0BF2" w:rsidP="00DB1A38">
      <w:pPr>
        <w:spacing w:after="0" w:line="240" w:lineRule="auto"/>
        <w:jc w:val="both"/>
        <w:rPr>
          <w:rFonts w:ascii="Arial" w:hAnsi="Arial" w:cs="Arial"/>
        </w:rPr>
      </w:pPr>
      <w:r w:rsidRPr="00DB1A38">
        <w:rPr>
          <w:rFonts w:ascii="Arial" w:hAnsi="Arial" w:cs="Arial"/>
        </w:rPr>
        <w:t>El papel de la Universidad de Cienfuegos, como generadora de conocimiento, formadora de capacidades y articuladora de actores, resulta central en esta transición. La integración de los ODS en la planificación territorial y turística, con la universidad como nodo de inteligencia y cooperación, puede convertir a Cienfuegos en un referente de turismo sostenible en contextos de crisis, demostrando que incluso en las condiciones más difíciles es posible avanzar hacia el desarrollo sostenible cuando se combinan recursos endógenos, alianzas estratégicas y voluntad política.</w:t>
      </w:r>
    </w:p>
    <w:p w14:paraId="4E2350AB" w14:textId="77777777" w:rsidR="008C0BF2" w:rsidRPr="00DB1A38" w:rsidRDefault="008C0BF2" w:rsidP="00DB1A38">
      <w:pPr>
        <w:spacing w:after="0" w:line="240" w:lineRule="auto"/>
        <w:jc w:val="both"/>
        <w:rPr>
          <w:rFonts w:ascii="Arial" w:hAnsi="Arial" w:cs="Arial"/>
        </w:rPr>
      </w:pPr>
    </w:p>
    <w:p w14:paraId="3BDA8FA8" w14:textId="77777777" w:rsidR="008C0BF2" w:rsidRPr="00D30B41" w:rsidRDefault="008C0BF2" w:rsidP="00DB1A38">
      <w:pPr>
        <w:spacing w:after="0" w:line="240" w:lineRule="auto"/>
        <w:jc w:val="both"/>
        <w:rPr>
          <w:rFonts w:ascii="Arial" w:hAnsi="Arial" w:cs="Arial"/>
          <w:b/>
          <w:bCs/>
        </w:rPr>
      </w:pPr>
      <w:r w:rsidRPr="00D30B41">
        <w:rPr>
          <w:rFonts w:ascii="Arial" w:hAnsi="Arial" w:cs="Arial"/>
          <w:b/>
          <w:bCs/>
        </w:rPr>
        <w:t>Referencias</w:t>
      </w:r>
    </w:p>
    <w:p w14:paraId="25B6ECB7" w14:textId="77777777" w:rsidR="008C0BF2" w:rsidRPr="00DB1A38" w:rsidRDefault="008C0BF2" w:rsidP="00DB1A38">
      <w:pPr>
        <w:spacing w:after="0" w:line="240" w:lineRule="auto"/>
        <w:ind w:left="284" w:hanging="284"/>
        <w:jc w:val="both"/>
        <w:rPr>
          <w:rFonts w:ascii="Arial" w:hAnsi="Arial" w:cs="Arial"/>
        </w:rPr>
      </w:pPr>
      <w:r w:rsidRPr="00DB1A38">
        <w:rPr>
          <w:rFonts w:ascii="Arial" w:hAnsi="Arial" w:cs="Arial"/>
        </w:rPr>
        <w:t>Navarro Patrick, M., Rivero Galván, A., &amp; Torres Sarría, L. (2024). Indicadores de turismo local sostenible en comunidades costeras. Revista Cubana de Finanzas y Precios, 8(1).</w:t>
      </w:r>
    </w:p>
    <w:p w14:paraId="2CC0DA94" w14:textId="77777777" w:rsidR="008C0BF2" w:rsidRPr="00DB1A38" w:rsidRDefault="008C0BF2" w:rsidP="00DB1A38">
      <w:pPr>
        <w:spacing w:after="0" w:line="240" w:lineRule="auto"/>
        <w:ind w:left="284" w:hanging="284"/>
        <w:jc w:val="both"/>
        <w:rPr>
          <w:rFonts w:ascii="Arial" w:hAnsi="Arial" w:cs="Arial"/>
        </w:rPr>
      </w:pPr>
      <w:r w:rsidRPr="00DB1A38">
        <w:rPr>
          <w:rFonts w:ascii="Arial" w:hAnsi="Arial" w:cs="Arial"/>
        </w:rPr>
        <w:t>Oficina Nacional de Estadística e Información de Cuba. (2026). Llegada de visitantes internacionales a Cuba. Primer trimestre de 2026. ONEI.</w:t>
      </w:r>
    </w:p>
    <w:p w14:paraId="533C4CE1" w14:textId="77777777" w:rsidR="008C0BF2" w:rsidRPr="00DB1A38" w:rsidRDefault="008C0BF2" w:rsidP="00DB1A38">
      <w:pPr>
        <w:spacing w:after="0" w:line="240" w:lineRule="auto"/>
        <w:ind w:left="284" w:hanging="284"/>
        <w:jc w:val="both"/>
        <w:rPr>
          <w:rFonts w:ascii="Arial" w:hAnsi="Arial" w:cs="Arial"/>
        </w:rPr>
      </w:pPr>
      <w:r w:rsidRPr="00DB1A38">
        <w:rPr>
          <w:rFonts w:ascii="Arial" w:hAnsi="Arial" w:cs="Arial"/>
        </w:rPr>
        <w:t>Reina Gallego, D., Fuentes Rodríguez, C. D., &amp; Pérez Recarey, Y. (2024). Los impactos que genera el turismo en la bahía de Cienfuegos: Influencia de la educación ambiental. Revista Panameña de Ciencias Sociales, 8, 56–67.</w:t>
      </w:r>
    </w:p>
    <w:p w14:paraId="764F60B6" w14:textId="77777777" w:rsidR="008C0BF2" w:rsidRPr="00DB1A38" w:rsidRDefault="008C0BF2" w:rsidP="00DB1A38">
      <w:pPr>
        <w:spacing w:after="0" w:line="240" w:lineRule="auto"/>
        <w:ind w:left="284" w:hanging="284"/>
        <w:jc w:val="both"/>
        <w:rPr>
          <w:rFonts w:ascii="Arial" w:hAnsi="Arial" w:cs="Arial"/>
        </w:rPr>
      </w:pPr>
      <w:r w:rsidRPr="00DB1A38">
        <w:rPr>
          <w:rFonts w:ascii="Arial" w:hAnsi="Arial" w:cs="Arial"/>
        </w:rPr>
        <w:t>Rivero Galván, A., Cabrera Álvarez, E. N., &amp; Portela Peñalver, L. (2024). Propuesta integral para potenciar el turismo local sostenible en Cienfuegos. Revista Científica Cultura, Comunicación y Desarrollo, 9(2), 121–127. https://rccd.ucf.edu.cu/index.php/aes/article/view/606</w:t>
      </w:r>
    </w:p>
    <w:p w14:paraId="1087B298" w14:textId="77777777" w:rsidR="008C0BF2" w:rsidRPr="00DB1A38" w:rsidRDefault="008C0BF2" w:rsidP="00DB1A38">
      <w:pPr>
        <w:spacing w:after="0" w:line="240" w:lineRule="auto"/>
        <w:ind w:left="284" w:hanging="284"/>
        <w:jc w:val="both"/>
        <w:rPr>
          <w:rFonts w:ascii="Arial" w:hAnsi="Arial" w:cs="Arial"/>
        </w:rPr>
      </w:pPr>
      <w:r w:rsidRPr="00DB1A38">
        <w:rPr>
          <w:rFonts w:ascii="Arial" w:hAnsi="Arial" w:cs="Arial"/>
          <w:lang w:val="en-US"/>
        </w:rPr>
        <w:t xml:space="preserve">Rey Novoa, J. M., Pérez de Armas, M., García Lorenzo, D. M., &amp; Torres Paez, C. C. (2025). Strategic planning and territorial governance for development in the province of Cienfuegos. </w:t>
      </w:r>
      <w:r w:rsidRPr="00DB1A38">
        <w:rPr>
          <w:rFonts w:ascii="Arial" w:hAnsi="Arial" w:cs="Arial"/>
        </w:rPr>
        <w:t>Universidad y Sociedad, 17(4).</w:t>
      </w:r>
    </w:p>
    <w:p w14:paraId="40DB18C8" w14:textId="77777777" w:rsidR="008C0BF2" w:rsidRPr="00DB1A38" w:rsidRDefault="008C0BF2" w:rsidP="00DB1A38">
      <w:pPr>
        <w:spacing w:after="0" w:line="240" w:lineRule="auto"/>
        <w:jc w:val="both"/>
        <w:rPr>
          <w:rFonts w:ascii="Arial" w:hAnsi="Arial" w:cs="Arial"/>
        </w:rPr>
      </w:pPr>
    </w:p>
    <w:sectPr w:rsidR="008C0BF2" w:rsidRPr="00DB1A38" w:rsidSect="00DB1A38">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BF2"/>
    <w:rsid w:val="00093CA6"/>
    <w:rsid w:val="00224899"/>
    <w:rsid w:val="0035499B"/>
    <w:rsid w:val="005C0DCE"/>
    <w:rsid w:val="008C0BF2"/>
    <w:rsid w:val="00AB4ADF"/>
    <w:rsid w:val="00B43D51"/>
    <w:rsid w:val="00C8655E"/>
    <w:rsid w:val="00D30B41"/>
    <w:rsid w:val="00DB1A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9264"/>
  <w15:chartTrackingRefBased/>
  <w15:docId w15:val="{3A97689C-F734-4BED-A6DB-D166E8A7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0B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C0B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C0BF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C0BF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C0BF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C0BF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0BF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0BF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0BF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0BF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C0BF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C0BF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C0BF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C0BF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C0B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0B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0B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0BF2"/>
    <w:rPr>
      <w:rFonts w:eastAsiaTheme="majorEastAsia" w:cstheme="majorBidi"/>
      <w:color w:val="272727" w:themeColor="text1" w:themeTint="D8"/>
    </w:rPr>
  </w:style>
  <w:style w:type="paragraph" w:styleId="Ttulo">
    <w:name w:val="Title"/>
    <w:basedOn w:val="Normal"/>
    <w:next w:val="Normal"/>
    <w:link w:val="TtuloCar"/>
    <w:uiPriority w:val="10"/>
    <w:qFormat/>
    <w:rsid w:val="008C0B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0B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0BF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0B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0BF2"/>
    <w:pPr>
      <w:spacing w:before="160"/>
      <w:jc w:val="center"/>
    </w:pPr>
    <w:rPr>
      <w:i/>
      <w:iCs/>
      <w:color w:val="404040" w:themeColor="text1" w:themeTint="BF"/>
    </w:rPr>
  </w:style>
  <w:style w:type="character" w:customStyle="1" w:styleId="CitaCar">
    <w:name w:val="Cita Car"/>
    <w:basedOn w:val="Fuentedeprrafopredeter"/>
    <w:link w:val="Cita"/>
    <w:uiPriority w:val="29"/>
    <w:rsid w:val="008C0BF2"/>
    <w:rPr>
      <w:i/>
      <w:iCs/>
      <w:color w:val="404040" w:themeColor="text1" w:themeTint="BF"/>
    </w:rPr>
  </w:style>
  <w:style w:type="paragraph" w:styleId="Prrafodelista">
    <w:name w:val="List Paragraph"/>
    <w:basedOn w:val="Normal"/>
    <w:uiPriority w:val="34"/>
    <w:qFormat/>
    <w:rsid w:val="008C0BF2"/>
    <w:pPr>
      <w:ind w:left="720"/>
      <w:contextualSpacing/>
    </w:pPr>
  </w:style>
  <w:style w:type="character" w:styleId="nfasisintenso">
    <w:name w:val="Intense Emphasis"/>
    <w:basedOn w:val="Fuentedeprrafopredeter"/>
    <w:uiPriority w:val="21"/>
    <w:qFormat/>
    <w:rsid w:val="008C0BF2"/>
    <w:rPr>
      <w:i/>
      <w:iCs/>
      <w:color w:val="2F5496" w:themeColor="accent1" w:themeShade="BF"/>
    </w:rPr>
  </w:style>
  <w:style w:type="paragraph" w:styleId="Citadestacada">
    <w:name w:val="Intense Quote"/>
    <w:basedOn w:val="Normal"/>
    <w:next w:val="Normal"/>
    <w:link w:val="CitadestacadaCar"/>
    <w:uiPriority w:val="30"/>
    <w:qFormat/>
    <w:rsid w:val="008C0B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C0BF2"/>
    <w:rPr>
      <w:i/>
      <w:iCs/>
      <w:color w:val="2F5496" w:themeColor="accent1" w:themeShade="BF"/>
    </w:rPr>
  </w:style>
  <w:style w:type="character" w:styleId="Referenciaintensa">
    <w:name w:val="Intense Reference"/>
    <w:basedOn w:val="Fuentedeprrafopredeter"/>
    <w:uiPriority w:val="32"/>
    <w:qFormat/>
    <w:rsid w:val="008C0BF2"/>
    <w:rPr>
      <w:b/>
      <w:bCs/>
      <w:smallCaps/>
      <w:color w:val="2F5496" w:themeColor="accent1" w:themeShade="BF"/>
      <w:spacing w:val="5"/>
    </w:rPr>
  </w:style>
  <w:style w:type="character" w:styleId="Hipervnculo">
    <w:name w:val="Hyperlink"/>
    <w:basedOn w:val="Fuentedeprrafopredeter"/>
    <w:uiPriority w:val="99"/>
    <w:unhideWhenUsed/>
    <w:rsid w:val="00DB1A38"/>
    <w:rPr>
      <w:color w:val="0563C1" w:themeColor="hyperlink"/>
      <w:u w:val="single"/>
    </w:rPr>
  </w:style>
  <w:style w:type="character" w:styleId="Mencinsinresolver">
    <w:name w:val="Unresolved Mention"/>
    <w:basedOn w:val="Fuentedeprrafopredeter"/>
    <w:uiPriority w:val="99"/>
    <w:semiHidden/>
    <w:unhideWhenUsed/>
    <w:rsid w:val="00DB1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adilla@ucf.edu.c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toledo@ucf.edu.cu" TargetMode="External"/><Relationship Id="rId5" Type="http://schemas.openxmlformats.org/officeDocument/2006/relationships/hyperlink" Target="mailto:ltorres@ucf.edu.cu" TargetMode="External"/><Relationship Id="rId4" Type="http://schemas.openxmlformats.org/officeDocument/2006/relationships/hyperlink" Target="mailto:hernandezcastillodamarys@gmail.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2808</Words>
  <Characters>15446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Damarys DHC. Hernandez Castillo</dc:creator>
  <cp:keywords/>
  <dc:description/>
  <cp:lastModifiedBy>Damarys DHC. Hernandez Castillo</cp:lastModifiedBy>
  <cp:revision>2</cp:revision>
  <dcterms:created xsi:type="dcterms:W3CDTF">2026-10-01T15:39:00Z</dcterms:created>
  <dcterms:modified xsi:type="dcterms:W3CDTF">2026-10-01T15:39:00Z</dcterms:modified>
</cp:coreProperties>
</file>