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81700" w14:textId="71FE4950" w:rsidR="009A534F" w:rsidRDefault="00000000" w:rsidP="002C3A5A">
      <w:pPr>
        <w:spacing w:after="0" w:line="240" w:lineRule="auto"/>
        <w:jc w:val="both"/>
        <w:rPr>
          <w:rFonts w:ascii="Arial" w:eastAsia="Arial" w:hAnsi="Arial" w:cs="Arial"/>
          <w:b/>
          <w:bCs/>
          <w:sz w:val="24"/>
          <w:szCs w:val="24"/>
          <w:lang w:val="es-CU"/>
        </w:rPr>
      </w:pPr>
      <w:r w:rsidRPr="00767A9F">
        <w:rPr>
          <w:rFonts w:ascii="Arial" w:eastAsia="Arial" w:hAnsi="Arial" w:cs="Arial"/>
          <w:b/>
          <w:bCs/>
          <w:sz w:val="24"/>
          <w:szCs w:val="24"/>
          <w:lang w:val="es-CU"/>
        </w:rPr>
        <w:t>EL CONTRATO COMO ACTIVO ESTRATÉGICO: HACIA UN MODELO SISTÉMICO DE GESTIÓN EN LA UNIVERSIDAD DE CIENFUEGOS</w:t>
      </w:r>
    </w:p>
    <w:p w14:paraId="66B758F4" w14:textId="77777777" w:rsidR="009A534F" w:rsidRPr="00767A9F" w:rsidRDefault="009A534F" w:rsidP="002C3A5A">
      <w:pPr>
        <w:spacing w:after="0" w:line="240" w:lineRule="auto"/>
        <w:jc w:val="both"/>
        <w:rPr>
          <w:rFonts w:ascii="Arial" w:hAnsi="Arial" w:cs="Arial"/>
          <w:sz w:val="24"/>
          <w:szCs w:val="24"/>
          <w:lang w:val="es-CU"/>
        </w:rPr>
      </w:pPr>
    </w:p>
    <w:p w14:paraId="20214212" w14:textId="77777777" w:rsidR="003D3095" w:rsidRDefault="003D3095" w:rsidP="003D3095">
      <w:pPr>
        <w:spacing w:after="0" w:line="240" w:lineRule="auto"/>
        <w:jc w:val="both"/>
        <w:rPr>
          <w:rFonts w:ascii="Arial" w:eastAsia="Arial" w:hAnsi="Arial" w:cs="Arial"/>
          <w:b/>
          <w:bCs/>
          <w:sz w:val="24"/>
          <w:szCs w:val="24"/>
          <w:lang w:val="es-CU"/>
        </w:rPr>
      </w:pPr>
      <w:r>
        <w:rPr>
          <w:rFonts w:ascii="Arial" w:eastAsia="Arial" w:hAnsi="Arial" w:cs="Arial"/>
          <w:b/>
          <w:bCs/>
          <w:sz w:val="24"/>
          <w:szCs w:val="24"/>
          <w:lang w:val="es-CU"/>
        </w:rPr>
        <w:t>Autor: Lic. Iraida López Sánchez</w:t>
      </w:r>
    </w:p>
    <w:p w14:paraId="36F07FC9" w14:textId="77777777" w:rsidR="003D3095" w:rsidRDefault="003D3095" w:rsidP="003D3095">
      <w:pPr>
        <w:spacing w:after="0" w:line="240" w:lineRule="auto"/>
        <w:jc w:val="both"/>
        <w:rPr>
          <w:rFonts w:ascii="Arial" w:eastAsia="Arial" w:hAnsi="Arial" w:cs="Arial"/>
          <w:b/>
          <w:bCs/>
          <w:sz w:val="24"/>
          <w:szCs w:val="24"/>
          <w:lang w:val="es-CU"/>
        </w:rPr>
      </w:pPr>
      <w:r>
        <w:rPr>
          <w:rFonts w:ascii="Arial" w:eastAsia="Arial" w:hAnsi="Arial" w:cs="Arial"/>
          <w:b/>
          <w:bCs/>
          <w:sz w:val="24"/>
          <w:szCs w:val="24"/>
          <w:lang w:val="es-CU"/>
        </w:rPr>
        <w:t>Afiliación</w:t>
      </w:r>
      <w:r w:rsidRPr="00E921FC">
        <w:rPr>
          <w:rFonts w:ascii="Arial" w:eastAsia="Arial" w:hAnsi="Arial" w:cs="Arial"/>
          <w:b/>
          <w:bCs/>
          <w:sz w:val="24"/>
          <w:szCs w:val="24"/>
          <w:lang w:val="es-CU"/>
        </w:rPr>
        <w:t>: Universidad de Cienfuegos C</w:t>
      </w:r>
      <w:r>
        <w:rPr>
          <w:rFonts w:ascii="Arial" w:eastAsia="Arial" w:hAnsi="Arial" w:cs="Arial"/>
          <w:b/>
          <w:bCs/>
          <w:sz w:val="24"/>
          <w:szCs w:val="24"/>
          <w:lang w:val="es-CU"/>
        </w:rPr>
        <w:t>arlos Rafael Rodríguez</w:t>
      </w:r>
    </w:p>
    <w:p w14:paraId="4363144A" w14:textId="77777777" w:rsidR="003D3095" w:rsidRDefault="003D3095" w:rsidP="003D3095">
      <w:pPr>
        <w:spacing w:after="0" w:line="240" w:lineRule="auto"/>
        <w:jc w:val="both"/>
        <w:rPr>
          <w:rFonts w:ascii="Arial" w:eastAsia="Arial" w:hAnsi="Arial" w:cs="Arial"/>
          <w:b/>
          <w:bCs/>
          <w:sz w:val="24"/>
          <w:szCs w:val="24"/>
          <w:lang w:val="es-CU"/>
        </w:rPr>
      </w:pPr>
      <w:r>
        <w:rPr>
          <w:rFonts w:ascii="Arial" w:eastAsia="Arial" w:hAnsi="Arial" w:cs="Arial"/>
          <w:b/>
          <w:bCs/>
          <w:sz w:val="24"/>
          <w:szCs w:val="24"/>
          <w:lang w:val="es-CU"/>
        </w:rPr>
        <w:t>País: Cuba</w:t>
      </w:r>
    </w:p>
    <w:p w14:paraId="4B0E45A8" w14:textId="77777777" w:rsidR="003D3095" w:rsidRDefault="003D3095" w:rsidP="003D3095">
      <w:pPr>
        <w:spacing w:after="0" w:line="240" w:lineRule="auto"/>
        <w:jc w:val="both"/>
        <w:rPr>
          <w:rFonts w:ascii="Arial" w:eastAsia="Arial" w:hAnsi="Arial" w:cs="Arial"/>
          <w:b/>
          <w:bCs/>
          <w:sz w:val="24"/>
          <w:szCs w:val="24"/>
          <w:lang w:val="es-CU"/>
        </w:rPr>
      </w:pPr>
      <w:r>
        <w:rPr>
          <w:rFonts w:ascii="Arial" w:eastAsia="Arial" w:hAnsi="Arial" w:cs="Arial"/>
          <w:b/>
          <w:bCs/>
          <w:sz w:val="24"/>
          <w:szCs w:val="24"/>
          <w:lang w:val="es-CU"/>
        </w:rPr>
        <w:t>Correo electrónico: ilsanchez@ucf.edu.cu</w:t>
      </w:r>
    </w:p>
    <w:p w14:paraId="7D9311A6" w14:textId="77777777" w:rsidR="003D3095" w:rsidRPr="00E921FC" w:rsidRDefault="003D3095" w:rsidP="003D3095">
      <w:pPr>
        <w:spacing w:after="0" w:line="240" w:lineRule="auto"/>
        <w:jc w:val="both"/>
        <w:rPr>
          <w:rFonts w:ascii="Arial" w:eastAsia="Arial" w:hAnsi="Arial" w:cs="Arial"/>
          <w:b/>
          <w:bCs/>
          <w:sz w:val="24"/>
          <w:szCs w:val="24"/>
          <w:lang w:val="es-CU"/>
        </w:rPr>
      </w:pPr>
      <w:r w:rsidRPr="00E921FC">
        <w:rPr>
          <w:rFonts w:ascii="Arial" w:eastAsia="Arial" w:hAnsi="Arial" w:cs="Arial"/>
          <w:b/>
          <w:bCs/>
          <w:sz w:val="24"/>
          <w:szCs w:val="24"/>
          <w:lang w:val="es-CU"/>
        </w:rPr>
        <w:t xml:space="preserve">Coautor: Damarys Hernández Castillo </w:t>
      </w:r>
    </w:p>
    <w:p w14:paraId="0E19026C" w14:textId="77777777" w:rsidR="003D3095" w:rsidRDefault="003D3095" w:rsidP="003D3095">
      <w:pPr>
        <w:spacing w:after="0" w:line="240" w:lineRule="auto"/>
        <w:jc w:val="both"/>
        <w:rPr>
          <w:rFonts w:ascii="Arial" w:eastAsia="Arial" w:hAnsi="Arial" w:cs="Arial"/>
          <w:b/>
          <w:bCs/>
          <w:sz w:val="24"/>
          <w:szCs w:val="24"/>
          <w:lang w:val="es-CU"/>
        </w:rPr>
      </w:pPr>
      <w:r>
        <w:rPr>
          <w:rFonts w:ascii="Arial" w:eastAsia="Arial" w:hAnsi="Arial" w:cs="Arial"/>
          <w:b/>
          <w:bCs/>
          <w:sz w:val="24"/>
          <w:szCs w:val="24"/>
          <w:lang w:val="es-CU"/>
        </w:rPr>
        <w:t>Tipo de trabajo: Ponencia</w:t>
      </w:r>
    </w:p>
    <w:p w14:paraId="26A0BFF7" w14:textId="77777777" w:rsidR="003D3095" w:rsidRDefault="003D3095" w:rsidP="002C3A5A">
      <w:pPr>
        <w:pBdr>
          <w:top w:val="none" w:sz="4" w:space="0" w:color="000000"/>
          <w:left w:val="none" w:sz="4" w:space="0" w:color="000000"/>
          <w:bottom w:val="none" w:sz="4" w:space="0" w:color="000000"/>
          <w:right w:val="none" w:sz="4" w:space="0" w:color="000000"/>
        </w:pBdr>
        <w:spacing w:line="240" w:lineRule="auto"/>
        <w:jc w:val="both"/>
        <w:rPr>
          <w:rFonts w:ascii="Arial" w:eastAsia="Arial" w:hAnsi="Arial" w:cs="Arial"/>
          <w:b/>
          <w:color w:val="000000"/>
          <w:sz w:val="24"/>
          <w:lang w:val="es-CU"/>
        </w:rPr>
      </w:pPr>
    </w:p>
    <w:p w14:paraId="22DC6F85" w14:textId="2F172986"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Resumen</w:t>
      </w:r>
    </w:p>
    <w:p w14:paraId="7DAF03D9" w14:textId="6DA9663E"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La evolución normativa del modelo económico cubano ha dotado a la Universidad de Cienfuego</w:t>
      </w:r>
      <w:r w:rsidR="00767A9F" w:rsidRPr="00767A9F">
        <w:rPr>
          <w:rFonts w:ascii="Arial" w:eastAsia="Arial" w:hAnsi="Arial" w:cs="Arial"/>
          <w:color w:val="000000"/>
          <w:sz w:val="24"/>
          <w:lang w:val="es-CU"/>
        </w:rPr>
        <w:t xml:space="preserve">s "Carlos Rafael Rodríguez" </w:t>
      </w:r>
      <w:r w:rsidRPr="00767A9F">
        <w:rPr>
          <w:rFonts w:ascii="Arial" w:eastAsia="Arial" w:hAnsi="Arial" w:cs="Arial"/>
          <w:color w:val="000000"/>
          <w:sz w:val="24"/>
          <w:lang w:val="es-CU"/>
        </w:rPr>
        <w:t>(</w:t>
      </w:r>
      <w:proofErr w:type="spellStart"/>
      <w:r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de nuevas facultades empresariales y responsabilidades patrimoniales. Sin embargo, persiste un enfoque de control fragmentado que asume la formalidad jurídica del contrato como el fin del proceso, generando una asimetría de información que impide validar la eficacia del negocio y expone a la institución a fugas de valor. Esta investigación propone la transformación sistémica de la gestión contractual mediante la articulación de las áreas jurídica, económica y operativa, fundamentada en el </w:t>
      </w:r>
      <w:proofErr w:type="spellStart"/>
      <w:r w:rsidRPr="00767A9F">
        <w:rPr>
          <w:rFonts w:ascii="Arial" w:eastAsia="Arial" w:hAnsi="Arial" w:cs="Arial"/>
          <w:i/>
          <w:color w:val="000000"/>
          <w:sz w:val="24"/>
          <w:lang w:val="es-CU"/>
        </w:rPr>
        <w:t>Contract</w:t>
      </w:r>
      <w:proofErr w:type="spellEnd"/>
      <w:r w:rsidRPr="00767A9F">
        <w:rPr>
          <w:rFonts w:ascii="Arial" w:eastAsia="Arial" w:hAnsi="Arial" w:cs="Arial"/>
          <w:i/>
          <w:color w:val="000000"/>
          <w:sz w:val="24"/>
          <w:lang w:val="es-CU"/>
        </w:rPr>
        <w:t xml:space="preserve"> Management</w:t>
      </w:r>
      <w:r w:rsidRPr="00767A9F">
        <w:rPr>
          <w:rFonts w:ascii="Arial" w:eastAsia="Arial" w:hAnsi="Arial" w:cs="Arial"/>
          <w:color w:val="000000"/>
          <w:sz w:val="24"/>
          <w:lang w:val="es-CU"/>
        </w:rPr>
        <w:t xml:space="preserve"> y la Teoría General de Sistemas. A través de un enfoque metodológico mixto descriptivo-propositivo, el estudio plantea la necesidad de estructurar los lineamientos estratégicos de un nuevo modelo de control que transforme el contrato en un activo para mitigar riesgos.</w:t>
      </w:r>
    </w:p>
    <w:p w14:paraId="3E33A76D"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Palabras clave:</w:t>
      </w:r>
      <w:r w:rsidRPr="00767A9F">
        <w:rPr>
          <w:rFonts w:ascii="Arial" w:eastAsia="Arial" w:hAnsi="Arial" w:cs="Arial"/>
          <w:color w:val="000000"/>
          <w:sz w:val="24"/>
          <w:lang w:val="es-CU"/>
        </w:rPr>
        <w:t xml:space="preserve"> Gestión de contratos, formalidad jurídica, asimetría de información, modelo sistémico, universidad pública.</w:t>
      </w:r>
    </w:p>
    <w:p w14:paraId="58157431" w14:textId="77777777" w:rsidR="009A534F" w:rsidRPr="00767A9F" w:rsidRDefault="00000000" w:rsidP="002C3A5A">
      <w:pPr>
        <w:spacing w:after="0" w:line="240" w:lineRule="auto"/>
        <w:jc w:val="both"/>
        <w:rPr>
          <w:rFonts w:ascii="Arial" w:hAnsi="Arial" w:cs="Arial"/>
          <w:b/>
          <w:bCs/>
          <w:sz w:val="24"/>
          <w:szCs w:val="24"/>
          <w:lang w:val="es-CU"/>
        </w:rPr>
      </w:pPr>
      <w:r w:rsidRPr="00767A9F">
        <w:rPr>
          <w:rFonts w:ascii="Arial" w:eastAsia="Arial" w:hAnsi="Arial" w:cs="Arial"/>
          <w:b/>
          <w:bCs/>
          <w:sz w:val="24"/>
          <w:szCs w:val="24"/>
          <w:lang w:val="es-CU"/>
        </w:rPr>
        <w:t>Introducción</w:t>
      </w:r>
    </w:p>
    <w:p w14:paraId="4A17587D" w14:textId="77777777" w:rsidR="009A534F" w:rsidRPr="00767A9F" w:rsidRDefault="009A534F" w:rsidP="002C3A5A">
      <w:pPr>
        <w:spacing w:after="0" w:line="240" w:lineRule="auto"/>
        <w:jc w:val="both"/>
        <w:rPr>
          <w:rFonts w:ascii="Arial" w:hAnsi="Arial" w:cs="Arial"/>
          <w:sz w:val="24"/>
          <w:szCs w:val="24"/>
          <w:lang w:val="es-CU"/>
        </w:rPr>
      </w:pPr>
    </w:p>
    <w:p w14:paraId="7CAA8155" w14:textId="21025F5C"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En la última década, el panorama de la Educación Superior a nivel global, y específicamente en Cuba, ha experimentado una transformación profunda en su concepción operativa. Las </w:t>
      </w:r>
      <w:r w:rsidR="003D3095" w:rsidRPr="00767A9F">
        <w:rPr>
          <w:rFonts w:ascii="Arial" w:eastAsia="Arial" w:hAnsi="Arial" w:cs="Arial"/>
          <w:color w:val="000000"/>
          <w:sz w:val="24"/>
          <w:lang w:val="es-CU"/>
        </w:rPr>
        <w:t xml:space="preserve">universidades </w:t>
      </w:r>
      <w:r w:rsidR="003D3095">
        <w:rPr>
          <w:rFonts w:ascii="Arial" w:eastAsia="Arial" w:hAnsi="Arial" w:cs="Arial"/>
          <w:color w:val="000000"/>
          <w:sz w:val="24"/>
          <w:lang w:val="es-CU"/>
        </w:rPr>
        <w:t>desde</w:t>
      </w:r>
      <w:r w:rsidR="00B56EC8">
        <w:rPr>
          <w:rFonts w:ascii="Arial" w:eastAsia="Arial" w:hAnsi="Arial" w:cs="Arial"/>
          <w:color w:val="000000"/>
          <w:sz w:val="24"/>
          <w:lang w:val="es-CU"/>
        </w:rPr>
        <w:t xml:space="preserve"> ya hace algún tiempo, </w:t>
      </w:r>
      <w:r w:rsidRPr="00767A9F">
        <w:rPr>
          <w:rFonts w:ascii="Arial" w:eastAsia="Arial" w:hAnsi="Arial" w:cs="Arial"/>
          <w:color w:val="000000"/>
          <w:sz w:val="24"/>
          <w:lang w:val="es-CU"/>
        </w:rPr>
        <w:t xml:space="preserve">han dejado de ser exclusivamente centros de docencia e </w:t>
      </w:r>
      <w:r w:rsidR="003D3095" w:rsidRPr="00767A9F">
        <w:rPr>
          <w:rFonts w:ascii="Arial" w:eastAsia="Arial" w:hAnsi="Arial" w:cs="Arial"/>
          <w:color w:val="000000"/>
          <w:sz w:val="24"/>
          <w:lang w:val="es-CU"/>
        </w:rPr>
        <w:t>investigación</w:t>
      </w:r>
      <w:r w:rsidR="003D3095">
        <w:rPr>
          <w:rFonts w:ascii="Arial" w:eastAsia="Arial" w:hAnsi="Arial" w:cs="Arial"/>
          <w:color w:val="000000"/>
          <w:sz w:val="24"/>
          <w:lang w:val="es-CU"/>
        </w:rPr>
        <w:t xml:space="preserve">, </w:t>
      </w:r>
      <w:r w:rsidR="003D3095" w:rsidRPr="00767A9F">
        <w:rPr>
          <w:rFonts w:ascii="Arial" w:eastAsia="Arial" w:hAnsi="Arial" w:cs="Arial"/>
          <w:color w:val="000000"/>
          <w:sz w:val="24"/>
          <w:lang w:val="es-CU"/>
        </w:rPr>
        <w:t>para</w:t>
      </w:r>
      <w:r w:rsidRPr="00767A9F">
        <w:rPr>
          <w:rFonts w:ascii="Arial" w:eastAsia="Arial" w:hAnsi="Arial" w:cs="Arial"/>
          <w:color w:val="000000"/>
          <w:sz w:val="24"/>
          <w:lang w:val="es-CU"/>
        </w:rPr>
        <w:t xml:space="preserve"> convertirse en actores económicos dinámicos con una incidencia directa en la economía de las naciones. En el contexto cubano, tras la actualización del Modelo Económico y Social de Desarrollo Socialista, las Instituciones de Educación Superior (IES) han recibido facultades para insertarse en el ecosistema empresarial a través de la exportación de servicios académicos, la creación de empresas de interfaz y la participación en proyectos de ciencia e innovación con el sector productivo; operaciones complejas que encuentran su materialización jurídica y financiera ineludible a través de los contratos.</w:t>
      </w:r>
    </w:p>
    <w:p w14:paraId="3430967C" w14:textId="65ED0A00"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La </w:t>
      </w:r>
      <w:proofErr w:type="spellStart"/>
      <w:r w:rsidR="00767A9F"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no es ajena a esta realidad. Su capacidad para generar ingresos propios, gestionar presupuestos públicos y ejecutar convenios internacionales la sitúa como un sujeto de derecho con una responsabilidad patrimonial creciente. En este nuevo escenario, el contrato debe dejar de concebirse como un mero trámite administrativo o documento de archivo, para asumirse como el activo estratégico fundamental que viabiliza la transferencia de conocimiento y la captación de valor. La validación del negocio en la </w:t>
      </w:r>
      <w:proofErr w:type="spellStart"/>
      <w:r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depende, por tanto, de una administración contractual proactiva que garantice la trazabilidad de los ingresos, el estricto cumplimiento de los hitos técnicos pactados y la mitigación de los riesgos asociados a su ejecución.</w:t>
      </w:r>
      <w:r w:rsidR="00B56EC8">
        <w:rPr>
          <w:rFonts w:ascii="Arial" w:eastAsia="Arial" w:hAnsi="Arial" w:cs="Arial"/>
          <w:color w:val="000000"/>
          <w:sz w:val="24"/>
          <w:lang w:val="es-CU"/>
        </w:rPr>
        <w:t xml:space="preserve"> En tal sentido el </w:t>
      </w:r>
      <w:r w:rsidR="00B56EC8">
        <w:rPr>
          <w:rFonts w:ascii="Arial" w:eastAsia="Arial" w:hAnsi="Arial" w:cs="Arial"/>
          <w:color w:val="000000"/>
          <w:sz w:val="24"/>
          <w:lang w:val="es-CU"/>
        </w:rPr>
        <w:lastRenderedPageBreak/>
        <w:t xml:space="preserve">objetivo </w:t>
      </w:r>
      <w:r w:rsidR="003D3095">
        <w:rPr>
          <w:rFonts w:ascii="Arial" w:eastAsia="Arial" w:hAnsi="Arial" w:cs="Arial"/>
          <w:color w:val="000000"/>
          <w:sz w:val="24"/>
          <w:lang w:val="es-CU"/>
        </w:rPr>
        <w:t>fundamental de</w:t>
      </w:r>
      <w:r w:rsidR="00B56EC8">
        <w:rPr>
          <w:rFonts w:ascii="Arial" w:eastAsia="Arial" w:hAnsi="Arial" w:cs="Arial"/>
          <w:color w:val="000000"/>
          <w:sz w:val="24"/>
          <w:lang w:val="es-CU"/>
        </w:rPr>
        <w:t xml:space="preserve"> esta investigación es realizar la </w:t>
      </w:r>
      <w:r w:rsidR="003D3095">
        <w:rPr>
          <w:rFonts w:ascii="Arial" w:eastAsia="Arial" w:hAnsi="Arial" w:cs="Arial"/>
          <w:color w:val="000000"/>
          <w:sz w:val="24"/>
          <w:lang w:val="es-CU"/>
        </w:rPr>
        <w:t xml:space="preserve">propuesta de un </w:t>
      </w:r>
      <w:r w:rsidR="003D3095" w:rsidRPr="00767A9F">
        <w:rPr>
          <w:rFonts w:ascii="Arial" w:eastAsia="Arial" w:hAnsi="Arial" w:cs="Arial"/>
          <w:color w:val="000000"/>
          <w:sz w:val="24"/>
          <w:lang w:val="es-CU"/>
        </w:rPr>
        <w:t>Manual de Procedimientos Institucional</w:t>
      </w:r>
      <w:r w:rsidR="003D3095">
        <w:rPr>
          <w:rFonts w:ascii="Arial" w:eastAsia="Arial" w:hAnsi="Arial" w:cs="Arial"/>
          <w:color w:val="000000"/>
          <w:sz w:val="24"/>
          <w:lang w:val="es-CU"/>
        </w:rPr>
        <w:t xml:space="preserve">. </w:t>
      </w:r>
      <w:r w:rsidR="00B56EC8">
        <w:rPr>
          <w:rFonts w:ascii="Arial" w:eastAsia="Arial" w:hAnsi="Arial" w:cs="Arial"/>
          <w:color w:val="000000"/>
          <w:sz w:val="24"/>
          <w:lang w:val="es-CU"/>
        </w:rPr>
        <w:t xml:space="preserve"> </w:t>
      </w:r>
    </w:p>
    <w:p w14:paraId="623C524E" w14:textId="77777777" w:rsidR="009A534F" w:rsidRPr="00767A9F" w:rsidRDefault="00000000" w:rsidP="002C3A5A">
      <w:pPr>
        <w:spacing w:after="0" w:line="240" w:lineRule="auto"/>
        <w:jc w:val="both"/>
        <w:rPr>
          <w:rFonts w:ascii="Arial" w:hAnsi="Arial" w:cs="Arial"/>
          <w:b/>
          <w:bCs/>
          <w:sz w:val="24"/>
          <w:szCs w:val="24"/>
          <w:lang w:val="es-CU"/>
        </w:rPr>
      </w:pPr>
      <w:r w:rsidRPr="00767A9F">
        <w:rPr>
          <w:rFonts w:ascii="Arial" w:eastAsia="Arial" w:hAnsi="Arial" w:cs="Arial"/>
          <w:b/>
          <w:bCs/>
          <w:sz w:val="24"/>
          <w:szCs w:val="24"/>
          <w:lang w:val="es-CU"/>
        </w:rPr>
        <w:t>Desarrollo</w:t>
      </w:r>
    </w:p>
    <w:p w14:paraId="711D9FF9" w14:textId="77777777" w:rsidR="009A534F" w:rsidRPr="00767A9F" w:rsidRDefault="00000000" w:rsidP="002C3A5A">
      <w:pPr>
        <w:spacing w:after="0" w:line="240" w:lineRule="auto"/>
        <w:jc w:val="both"/>
        <w:rPr>
          <w:rFonts w:ascii="Arial" w:hAnsi="Arial" w:cs="Arial"/>
          <w:b/>
          <w:bCs/>
          <w:sz w:val="24"/>
          <w:szCs w:val="24"/>
          <w:lang w:val="es-CU"/>
        </w:rPr>
      </w:pPr>
      <w:r w:rsidRPr="00767A9F">
        <w:rPr>
          <w:rFonts w:ascii="Arial" w:eastAsia="Arial" w:hAnsi="Arial" w:cs="Arial"/>
          <w:b/>
          <w:bCs/>
          <w:sz w:val="24"/>
          <w:szCs w:val="24"/>
          <w:lang w:val="es-CU"/>
        </w:rPr>
        <w:t>Situación Problémica y Justificación</w:t>
      </w:r>
    </w:p>
    <w:p w14:paraId="402397E8" w14:textId="1CD7CD5E"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La </w:t>
      </w:r>
      <w:proofErr w:type="spellStart"/>
      <w:r w:rsidR="00767A9F"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constituida bajo la figura de Unidad Presupuestada, ha experimentado una profunda mutación en su naturaleza jurídica. Históricamente, estas instituciones operaban como entes financieramente pasivos, cuyo sostenimiento y control dependían de forma centralizada y casi exclusiva del Estado. Sin embargo, el ordenamiento jurídico reciente ha transformado a la Unidad Presupuestada en un sujeto económico activo y dinámico. Este cambio paradigmático se consolida con el Decreto 127/2025 "De Las Instituciones Presupuestadas", el cual, si bien ratifica que estas entidades cumplen funciones estatales y sociales, las dota expresamente de independencia presupuestaria y personalidad jurídica. En particular, su Artículo 38 faculta a los directivos para firmar contratos económicos, gestionar diversas fuentes lícitas de financiamiento y asociarse con otros actores económicos, mientras que sus Artículos 23 y 24 abren la puerta a la ejecución de actividades autofinanciadas. </w:t>
      </w:r>
    </w:p>
    <w:p w14:paraId="308788A2" w14:textId="691F53C8"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Esta diversificación de capacidades se ve ampliada por el Decreto-Ley 114/2025 "De la asociación entre entidades empresariales estatales y no estatales", el cual </w:t>
      </w:r>
      <w:r w:rsidR="008D2741" w:rsidRPr="00767A9F">
        <w:rPr>
          <w:rFonts w:ascii="Arial" w:eastAsia="Arial" w:hAnsi="Arial" w:cs="Arial"/>
          <w:color w:val="000000"/>
          <w:sz w:val="24"/>
          <w:lang w:val="es-CU"/>
        </w:rPr>
        <w:t xml:space="preserve">incluye a las unidades presupuestadas con tratamiento especial dentro de las entidades con capacidad para constituir asociaciones, en la medida en que la </w:t>
      </w:r>
      <w:proofErr w:type="spellStart"/>
      <w:r w:rsidR="008D2741" w:rsidRPr="00767A9F">
        <w:rPr>
          <w:rFonts w:ascii="Arial" w:eastAsia="Arial" w:hAnsi="Arial" w:cs="Arial"/>
          <w:color w:val="000000"/>
          <w:sz w:val="24"/>
          <w:lang w:val="es-CU"/>
        </w:rPr>
        <w:t>UCf</w:t>
      </w:r>
      <w:proofErr w:type="spellEnd"/>
      <w:r w:rsidR="008D2741" w:rsidRPr="00767A9F">
        <w:rPr>
          <w:rFonts w:ascii="Arial" w:eastAsia="Arial" w:hAnsi="Arial" w:cs="Arial"/>
          <w:color w:val="000000"/>
          <w:sz w:val="24"/>
          <w:lang w:val="es-CU"/>
        </w:rPr>
        <w:t xml:space="preserve"> </w:t>
      </w:r>
      <w:r w:rsidR="00753487">
        <w:rPr>
          <w:rFonts w:ascii="Arial" w:eastAsia="Arial" w:hAnsi="Arial" w:cs="Arial"/>
          <w:color w:val="000000"/>
          <w:sz w:val="24"/>
          <w:lang w:val="es-CU"/>
        </w:rPr>
        <w:t xml:space="preserve">avance a </w:t>
      </w:r>
      <w:r w:rsidR="008D2741" w:rsidRPr="00767A9F">
        <w:rPr>
          <w:rFonts w:ascii="Arial" w:eastAsia="Arial" w:hAnsi="Arial" w:cs="Arial"/>
          <w:color w:val="000000"/>
          <w:sz w:val="24"/>
          <w:lang w:val="es-CU"/>
        </w:rPr>
        <w:t xml:space="preserve">este régimen jurídico, podrá evaluar las modalidades de asociación previstas por la normativa vigente. </w:t>
      </w:r>
      <w:r w:rsidRPr="00767A9F">
        <w:rPr>
          <w:rFonts w:ascii="Arial" w:eastAsia="Arial" w:hAnsi="Arial" w:cs="Arial"/>
          <w:color w:val="000000"/>
          <w:sz w:val="24"/>
          <w:lang w:val="es-CU"/>
        </w:rPr>
        <w:t xml:space="preserve">Al insertarse de lleno en el tráfico comercial, la Universidad somete sus obligaciones al amparo del Decreto-Ley 304/2012 "De la Contratación Económica". Este cuerpo legal consagra el principio de autonomía de la voluntad contractual (Artículo 2) y establece la responsabilidad patrimonial ineludible ante el incumplimiento de las obligaciones asumidas (Artículos 81 y 84). </w:t>
      </w:r>
    </w:p>
    <w:p w14:paraId="5A917129" w14:textId="08F9777D"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Bajo esta nueva realidad jurídica, la exigencia del cumplimiento de los requisitos de concertación dictados por el Decreto-Ley 304/2012 "De la Contratación Económica" cobra una nueva dimensión. La formalidad jurídica no es un mero formalismo de archivo o un fin en sí mismo, sino el vehículo legal que legitima las operaciones patrimoniales de la institución. A su vez, para dar estricto cumplimiento al mandato de utilizar con eficiencia los recursos financieros, tal como exige el Artículo 38, inciso a), del Decreto 127/2025 "De Las Instituciones Presupuestadas", la Universidad requiere obligatoriamente un modelo de administración de contratos orientado a resultados. </w:t>
      </w:r>
    </w:p>
    <w:p w14:paraId="18AF2895" w14:textId="22B84EDA"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En este escenario, el volumen y la complejidad de los negocios exigen alinear la formalidad jurídica —como base exigible del contrato— con la eficacia del negocio. Sin embargo, el crecimiento de estas responsabilidades patrimoniales no ha sido acompañado por una evolución correlativa en los métodos de control de la institución. Por el contrario, la gestión actual persiste en un enfoque fragmentado en el que </w:t>
      </w:r>
      <w:r w:rsidRPr="00767A9F">
        <w:rPr>
          <w:rFonts w:ascii="Arial" w:eastAsia="Arial" w:hAnsi="Arial" w:cs="Arial"/>
          <w:sz w:val="24"/>
          <w:szCs w:val="24"/>
          <w:lang w:val="es-CU"/>
        </w:rPr>
        <w:t>el área jurídica se limita a la custodia del documento, el área económica al registro de cobros y pagos, y las facultades a la ejecución técnica, sin que existan puntos de convergencia informativa.</w:t>
      </w:r>
    </w:p>
    <w:p w14:paraId="12B4AB2E" w14:textId="522DC445" w:rsidR="009A534F" w:rsidRPr="00767A9F" w:rsidRDefault="00000000" w:rsidP="002C3A5A">
      <w:pPr>
        <w:spacing w:after="0" w:line="240" w:lineRule="auto"/>
        <w:jc w:val="both"/>
        <w:rPr>
          <w:rFonts w:ascii="Arial" w:hAnsi="Arial" w:cs="Arial"/>
          <w:sz w:val="24"/>
          <w:szCs w:val="24"/>
          <w:lang w:val="es-CU"/>
        </w:rPr>
      </w:pPr>
      <w:r w:rsidRPr="00767A9F">
        <w:rPr>
          <w:rFonts w:ascii="Arial" w:eastAsia="Arial" w:hAnsi="Arial" w:cs="Arial"/>
          <w:sz w:val="24"/>
          <w:szCs w:val="24"/>
          <w:lang w:val="es-CU"/>
        </w:rPr>
        <w:t xml:space="preserve">Como resultado de esta desconexión operativa, la alta dirección queda desprovista de alertas tempranas frente a desviaciones financieras o incumplimientos técnicos. Se genera así un vacío crítico en el que la formalidad jurídica se da por satisfecha con la rúbrica del documento, mientras que la eficacia del negocio permanece sin validación alguna. Semejante asimetría de información no solo constituye un riesgo latente de </w:t>
      </w:r>
      <w:r w:rsidRPr="00767A9F">
        <w:rPr>
          <w:rFonts w:ascii="Arial" w:eastAsia="Arial" w:hAnsi="Arial" w:cs="Arial"/>
          <w:sz w:val="24"/>
          <w:szCs w:val="24"/>
          <w:lang w:val="es-CU"/>
        </w:rPr>
        <w:lastRenderedPageBreak/>
        <w:t>fugas de valor y afectaciones patrimoniales, sino que imposibilita garantizar que los vínculos contractuales apalanquen de forma real y medible los objetivos estratégicos de la institución.</w:t>
      </w:r>
    </w:p>
    <w:p w14:paraId="3817CF64" w14:textId="77777777" w:rsidR="009A534F" w:rsidRPr="00767A9F" w:rsidRDefault="009A534F" w:rsidP="002C3A5A">
      <w:pPr>
        <w:spacing w:after="0" w:line="240" w:lineRule="auto"/>
        <w:jc w:val="both"/>
        <w:rPr>
          <w:rFonts w:ascii="Arial" w:hAnsi="Arial" w:cs="Arial"/>
          <w:sz w:val="24"/>
          <w:szCs w:val="24"/>
          <w:lang w:val="es-CU"/>
        </w:rPr>
      </w:pPr>
    </w:p>
    <w:p w14:paraId="047BF457"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Fundamentos teóricos para un Modelo Sistémico de Gestión Contractual Universitaria</w:t>
      </w:r>
    </w:p>
    <w:p w14:paraId="22596C3F"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Tradicionalmente, la gestión de contratos se limitaba a la negociación y redacción (</w:t>
      </w:r>
      <w:proofErr w:type="spellStart"/>
      <w:r w:rsidRPr="00767A9F">
        <w:rPr>
          <w:rFonts w:ascii="Arial" w:eastAsia="Arial" w:hAnsi="Arial" w:cs="Arial"/>
          <w:i/>
          <w:color w:val="000000"/>
          <w:sz w:val="24"/>
          <w:lang w:val="es-CU"/>
        </w:rPr>
        <w:t>pre-award</w:t>
      </w:r>
      <w:proofErr w:type="spellEnd"/>
      <w:r w:rsidRPr="00767A9F">
        <w:rPr>
          <w:rFonts w:ascii="Arial" w:eastAsia="Arial" w:hAnsi="Arial" w:cs="Arial"/>
          <w:color w:val="000000"/>
          <w:sz w:val="24"/>
          <w:lang w:val="es-CU"/>
        </w:rPr>
        <w:t xml:space="preserve">), con el abogado fungiendo exclusivamente como "guardián de la norma". Sin embargo, la complejidad de los negocios modernos dio paso al </w:t>
      </w:r>
      <w:proofErr w:type="spellStart"/>
      <w:r w:rsidRPr="00767A9F">
        <w:rPr>
          <w:rFonts w:ascii="Arial" w:eastAsia="Arial" w:hAnsi="Arial" w:cs="Arial"/>
          <w:i/>
          <w:color w:val="000000"/>
          <w:sz w:val="24"/>
          <w:lang w:val="es-CU"/>
        </w:rPr>
        <w:t>Contract</w:t>
      </w:r>
      <w:proofErr w:type="spellEnd"/>
      <w:r w:rsidRPr="00767A9F">
        <w:rPr>
          <w:rFonts w:ascii="Arial" w:eastAsia="Arial" w:hAnsi="Arial" w:cs="Arial"/>
          <w:i/>
          <w:color w:val="000000"/>
          <w:sz w:val="24"/>
          <w:lang w:val="es-CU"/>
        </w:rPr>
        <w:t xml:space="preserve"> Management</w:t>
      </w:r>
      <w:r w:rsidRPr="00767A9F">
        <w:rPr>
          <w:rFonts w:ascii="Arial" w:eastAsia="Arial" w:hAnsi="Arial" w:cs="Arial"/>
          <w:color w:val="000000"/>
          <w:sz w:val="24"/>
          <w:lang w:val="es-CU"/>
        </w:rPr>
        <w:t xml:space="preserve">. Garrett y Rendon (2005) lo definen como el proceso integral para asegurar que las partes cumplan sus obligaciones y alcancen los objetivos del negocio, marcando la transición de un enfoque puramente legalista a uno operativo y estratégico. </w:t>
      </w:r>
    </w:p>
    <w:p w14:paraId="5B9A8108" w14:textId="495CAAF4"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Desde la Nueva Economía Institucional, Williamson (1985) y Macneil (2000) introducen los "Contratos Relacionales", sosteniendo que en organizaciones complejas se requieren estructuras de gobernanza interna para evitar comportamientos oportunistas y facilitar la coordinación (Mooi y Gilliland, 2013). En este sentido, la </w:t>
      </w:r>
      <w:proofErr w:type="spellStart"/>
      <w:r w:rsidRPr="00767A9F">
        <w:rPr>
          <w:rFonts w:ascii="Arial" w:eastAsia="Arial" w:hAnsi="Arial" w:cs="Arial"/>
          <w:color w:val="000000"/>
          <w:sz w:val="24"/>
          <w:lang w:val="es-CU"/>
        </w:rPr>
        <w:t>WorldCC</w:t>
      </w:r>
      <w:proofErr w:type="spellEnd"/>
      <w:r w:rsidRPr="00767A9F">
        <w:rPr>
          <w:rFonts w:ascii="Arial" w:eastAsia="Arial" w:hAnsi="Arial" w:cs="Arial"/>
          <w:color w:val="000000"/>
          <w:sz w:val="24"/>
          <w:lang w:val="es-CU"/>
        </w:rPr>
        <w:t xml:space="preserve"> (201</w:t>
      </w:r>
      <w:r w:rsidR="00211693" w:rsidRPr="00767A9F">
        <w:rPr>
          <w:rFonts w:ascii="Arial" w:eastAsia="Arial" w:hAnsi="Arial" w:cs="Arial"/>
          <w:color w:val="000000"/>
          <w:sz w:val="24"/>
          <w:lang w:val="es-CU"/>
        </w:rPr>
        <w:t>9</w:t>
      </w:r>
      <w:r w:rsidRPr="00767A9F">
        <w:rPr>
          <w:rFonts w:ascii="Arial" w:eastAsia="Arial" w:hAnsi="Arial" w:cs="Arial"/>
          <w:color w:val="000000"/>
          <w:sz w:val="24"/>
          <w:lang w:val="es-CU"/>
        </w:rPr>
        <w:t xml:space="preserve">) advierte que se pierde entre un 9% y 15% de valor por "fugas de </w:t>
      </w:r>
      <w:r w:rsidR="00767A9F" w:rsidRPr="00767A9F">
        <w:rPr>
          <w:rFonts w:ascii="Arial" w:eastAsia="Arial" w:hAnsi="Arial" w:cs="Arial"/>
          <w:color w:val="000000"/>
          <w:sz w:val="24"/>
          <w:lang w:val="es-CU"/>
        </w:rPr>
        <w:t>valor</w:t>
      </w:r>
      <w:r w:rsidRPr="00767A9F">
        <w:rPr>
          <w:rFonts w:ascii="Arial" w:eastAsia="Arial" w:hAnsi="Arial" w:cs="Arial"/>
          <w:color w:val="000000"/>
          <w:sz w:val="24"/>
          <w:lang w:val="es-CU"/>
        </w:rPr>
        <w:t>" (</w:t>
      </w:r>
      <w:proofErr w:type="spellStart"/>
      <w:r w:rsidRPr="00767A9F">
        <w:rPr>
          <w:rFonts w:ascii="Arial" w:eastAsia="Arial" w:hAnsi="Arial" w:cs="Arial"/>
          <w:i/>
          <w:color w:val="000000"/>
          <w:sz w:val="24"/>
          <w:lang w:val="es-CU"/>
        </w:rPr>
        <w:t>Value</w:t>
      </w:r>
      <w:proofErr w:type="spellEnd"/>
      <w:r w:rsidRPr="00767A9F">
        <w:rPr>
          <w:rFonts w:ascii="Arial" w:eastAsia="Arial" w:hAnsi="Arial" w:cs="Arial"/>
          <w:i/>
          <w:color w:val="000000"/>
          <w:sz w:val="24"/>
          <w:lang w:val="es-CU"/>
        </w:rPr>
        <w:t xml:space="preserve"> </w:t>
      </w:r>
      <w:proofErr w:type="spellStart"/>
      <w:r w:rsidRPr="00767A9F">
        <w:rPr>
          <w:rFonts w:ascii="Arial" w:eastAsia="Arial" w:hAnsi="Arial" w:cs="Arial"/>
          <w:i/>
          <w:color w:val="000000"/>
          <w:sz w:val="24"/>
          <w:lang w:val="es-CU"/>
        </w:rPr>
        <w:t>Leakage</w:t>
      </w:r>
      <w:proofErr w:type="spellEnd"/>
      <w:r w:rsidRPr="00767A9F">
        <w:rPr>
          <w:rFonts w:ascii="Arial" w:eastAsia="Arial" w:hAnsi="Arial" w:cs="Arial"/>
          <w:color w:val="000000"/>
          <w:sz w:val="24"/>
          <w:lang w:val="es-CU"/>
        </w:rPr>
        <w:t xml:space="preserve">) tras la firma. Por ello, el éxito se decide en la fase </w:t>
      </w:r>
      <w:r w:rsidRPr="00767A9F">
        <w:rPr>
          <w:rFonts w:ascii="Arial" w:eastAsia="Arial" w:hAnsi="Arial" w:cs="Arial"/>
          <w:i/>
          <w:color w:val="000000"/>
          <w:sz w:val="24"/>
          <w:lang w:val="es-CU"/>
        </w:rPr>
        <w:t>Post-</w:t>
      </w:r>
      <w:proofErr w:type="spellStart"/>
      <w:r w:rsidRPr="00767A9F">
        <w:rPr>
          <w:rFonts w:ascii="Arial" w:eastAsia="Arial" w:hAnsi="Arial" w:cs="Arial"/>
          <w:i/>
          <w:color w:val="000000"/>
          <w:sz w:val="24"/>
          <w:lang w:val="es-CU"/>
        </w:rPr>
        <w:t>Award</w:t>
      </w:r>
      <w:proofErr w:type="spellEnd"/>
      <w:r w:rsidRPr="00767A9F">
        <w:rPr>
          <w:rFonts w:ascii="Arial" w:eastAsia="Arial" w:hAnsi="Arial" w:cs="Arial"/>
          <w:color w:val="000000"/>
          <w:sz w:val="24"/>
          <w:lang w:val="es-CU"/>
        </w:rPr>
        <w:t xml:space="preserve">: validar el negocio es certificar que los resultados coinciden con lo pactado (Garrett, 2010), concibiendo el contrato como una base de datos dinámica monitoreada mediante hitos e indicadores (Rendon, 2011; </w:t>
      </w:r>
      <w:proofErr w:type="spellStart"/>
      <w:r w:rsidRPr="00767A9F">
        <w:rPr>
          <w:rFonts w:ascii="Arial" w:eastAsia="Arial" w:hAnsi="Arial" w:cs="Arial"/>
          <w:color w:val="000000"/>
          <w:sz w:val="24"/>
          <w:lang w:val="es-CU"/>
        </w:rPr>
        <w:t>Farina</w:t>
      </w:r>
      <w:proofErr w:type="spellEnd"/>
      <w:r w:rsidRPr="00767A9F">
        <w:rPr>
          <w:rFonts w:ascii="Arial" w:eastAsia="Arial" w:hAnsi="Arial" w:cs="Arial"/>
          <w:color w:val="000000"/>
          <w:sz w:val="24"/>
          <w:lang w:val="es-CU"/>
        </w:rPr>
        <w:t xml:space="preserve">, 2012). </w:t>
      </w:r>
    </w:p>
    <w:p w14:paraId="5154E912" w14:textId="48954541"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Para estructurar esta dinámica en el ámbito académico, resulta imprescindible acudir a la Teoría General de Sistemas (TGS). Chiavenato (2019) plantea que la organización es un sistema abierto. Para las universidades, esto es vital: el contrato no es un proceso aislado, sino un componente interconectado con todo su funcionamiento orgánico. El enfoque sistémico exige reconocer la dualidad contractual de la institución en el actual modelo económico: por un lado, actúa como proveedora de conocimiento (exportación de servicios e I+D); y por otro, se erige como una consumidora activa que, ante la disminución de las asignaciones materiales centralizadas, debe gestionar y asegurar contractualmente su propia cadena de suministros (alimentación, insumos, mantenimiento civil) para garantizar su </w:t>
      </w:r>
      <w:r w:rsidR="00767A9F" w:rsidRPr="00767A9F">
        <w:rPr>
          <w:rFonts w:ascii="Arial" w:eastAsia="Arial" w:hAnsi="Arial" w:cs="Arial"/>
          <w:color w:val="000000"/>
          <w:sz w:val="24"/>
          <w:lang w:val="es-CU"/>
        </w:rPr>
        <w:t xml:space="preserve">continuidad </w:t>
      </w:r>
      <w:r w:rsidRPr="00767A9F">
        <w:rPr>
          <w:rFonts w:ascii="Arial" w:eastAsia="Arial" w:hAnsi="Arial" w:cs="Arial"/>
          <w:color w:val="000000"/>
          <w:sz w:val="24"/>
          <w:lang w:val="es-CU"/>
        </w:rPr>
        <w:t>operativa. La mejora organizacional exige, por tanto, equilibrar tecnología y estructura social bajo un enfoque socio-técnico (</w:t>
      </w:r>
      <w:proofErr w:type="spellStart"/>
      <w:r w:rsidRPr="00767A9F">
        <w:rPr>
          <w:rFonts w:ascii="Arial" w:eastAsia="Arial" w:hAnsi="Arial" w:cs="Arial"/>
          <w:color w:val="000000"/>
          <w:sz w:val="24"/>
          <w:lang w:val="es-CU"/>
        </w:rPr>
        <w:t>Pavez</w:t>
      </w:r>
      <w:proofErr w:type="spellEnd"/>
      <w:r w:rsidRPr="00767A9F">
        <w:rPr>
          <w:rFonts w:ascii="Arial" w:eastAsia="Arial" w:hAnsi="Arial" w:cs="Arial"/>
          <w:color w:val="000000"/>
          <w:sz w:val="24"/>
          <w:lang w:val="es-CU"/>
        </w:rPr>
        <w:t xml:space="preserve">, 2000; Etkin, 2000) que abarque ambas dimensiones. </w:t>
      </w:r>
    </w:p>
    <w:p w14:paraId="417E3739"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Bajo este prisma sistémico, la validación de negocios no puede entenderse sin una gestión proactiva del riesgo contractual. Autores como Hopkin (2018) sostienen que el riesgo no se limita a la posibilidad de un litigio judicial, sino a la incapacidad de la organización para capturar el valor esperado o sostener sus operaciones. Para una institución como la </w:t>
      </w:r>
      <w:proofErr w:type="spellStart"/>
      <w:r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el riesgo operativo es bidireccional: se materializa tanto en la asimetría de información que afecta la rentabilidad de los proyectos académicos, como en la ineficacia de los contratos de aprovisionamiento que sostienen la logística universitaria. Un modelo de gestión efectivo debe integrar una matriz de riesgos que actúe en la fase </w:t>
      </w:r>
      <w:r w:rsidRPr="00767A9F">
        <w:rPr>
          <w:rFonts w:ascii="Arial" w:eastAsia="Arial" w:hAnsi="Arial" w:cs="Arial"/>
          <w:i/>
          <w:color w:val="000000"/>
          <w:sz w:val="24"/>
          <w:lang w:val="es-CU"/>
        </w:rPr>
        <w:t>Post-</w:t>
      </w:r>
      <w:proofErr w:type="spellStart"/>
      <w:r w:rsidRPr="00767A9F">
        <w:rPr>
          <w:rFonts w:ascii="Arial" w:eastAsia="Arial" w:hAnsi="Arial" w:cs="Arial"/>
          <w:i/>
          <w:color w:val="000000"/>
          <w:sz w:val="24"/>
          <w:lang w:val="es-CU"/>
        </w:rPr>
        <w:t>Award</w:t>
      </w:r>
      <w:proofErr w:type="spellEnd"/>
      <w:r w:rsidRPr="00767A9F">
        <w:rPr>
          <w:rFonts w:ascii="Arial" w:eastAsia="Arial" w:hAnsi="Arial" w:cs="Arial"/>
          <w:color w:val="000000"/>
          <w:sz w:val="24"/>
          <w:lang w:val="es-CU"/>
        </w:rPr>
        <w:t xml:space="preserve">, identificando desviaciones —ya sean fugas de valor financiero o fallas críticas en el suministro— antes de que se conviertan en pérdidas irreversibles o paralizaciones operativas. </w:t>
      </w:r>
    </w:p>
    <w:p w14:paraId="22195DD3"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lastRenderedPageBreak/>
        <w:t xml:space="preserve">Desde la perspectiva del Capital Intelectual, Brooking (1996) clasifica los contratos como activos que generan valor intangible. En el entorno universitario, marcado por la investigación y el desarrollo de proyectos de ciencia e innovación, el contrato es el vehículo que formaliza la transferencia de conocimiento. No gestionar adecuadamente su ciclo de vida implica una erosión directa del capital intelectual de la universidad. Por ello, la administración de contratos debe fungir como el mecanismo primario de protección, exigiendo el diseño y monitoreo de cláusulas específicas sobre titularidad de resultados, distribución de regalías, derechos de autor y acuerdos de confidencialidad, asegurando que los beneficios retornen efectivamente a la institución creadora. </w:t>
      </w:r>
    </w:p>
    <w:p w14:paraId="42313282"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La articulación de este modelo sistémico requiere superar la tradicional revisión puramente contable al finalizar el contrato, para adoptar un enfoque de control multidimensional inspirado en los postulados de Kaplan y Norton (2001). Aplicado a la gestión contractual, esto significa que la validación del negocio debe sustentarse en Indicadores Clave de Rendimiento (</w:t>
      </w:r>
      <w:proofErr w:type="spellStart"/>
      <w:r w:rsidRPr="00767A9F">
        <w:rPr>
          <w:rFonts w:ascii="Arial" w:eastAsia="Arial" w:hAnsi="Arial" w:cs="Arial"/>
          <w:color w:val="000000"/>
          <w:sz w:val="24"/>
          <w:lang w:val="es-CU"/>
        </w:rPr>
        <w:t>KPIs</w:t>
      </w:r>
      <w:proofErr w:type="spellEnd"/>
      <w:r w:rsidRPr="00767A9F">
        <w:rPr>
          <w:rFonts w:ascii="Arial" w:eastAsia="Arial" w:hAnsi="Arial" w:cs="Arial"/>
          <w:color w:val="000000"/>
          <w:sz w:val="24"/>
          <w:lang w:val="es-CU"/>
        </w:rPr>
        <w:t xml:space="preserve">) transversales. Para la </w:t>
      </w:r>
      <w:proofErr w:type="spellStart"/>
      <w:r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el modelo de gestión debe definir métricas de seguimiento claras, tales como: a) el índice de desviación entre los presupuestos proyectados y la ejecución real (dimensión financiera); b) el grado de cumplimiento de los hitos técnicos o de suministro en los plazos pactados (dimensión operativa); y c) el aseguramiento legal de los resultados de innovación (dimensión de protección del conocimiento). El establecimiento de estos indicadores dota a las áreas involucradas de un lenguaje común, permitiendo transformar los datos aislados de cada contrato en criterios objetivos para la toma de decisiones estratégicas. </w:t>
      </w:r>
    </w:p>
    <w:p w14:paraId="746B6A4F"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Finalmente, el concepto de </w:t>
      </w:r>
      <w:proofErr w:type="spellStart"/>
      <w:r w:rsidRPr="00767A9F">
        <w:rPr>
          <w:rFonts w:ascii="Arial" w:eastAsia="Arial" w:hAnsi="Arial" w:cs="Arial"/>
          <w:i/>
          <w:color w:val="000000"/>
          <w:sz w:val="24"/>
          <w:lang w:val="es-CU"/>
        </w:rPr>
        <w:t>Accountability</w:t>
      </w:r>
      <w:proofErr w:type="spellEnd"/>
      <w:r w:rsidRPr="00767A9F">
        <w:rPr>
          <w:rFonts w:ascii="Arial" w:eastAsia="Arial" w:hAnsi="Arial" w:cs="Arial"/>
          <w:color w:val="000000"/>
          <w:sz w:val="24"/>
          <w:lang w:val="es-CU"/>
        </w:rPr>
        <w:t xml:space="preserve"> o rendición de cuentas, reforzado por autores como Lerner y </w:t>
      </w:r>
      <w:proofErr w:type="spellStart"/>
      <w:r w:rsidRPr="00767A9F">
        <w:rPr>
          <w:rFonts w:ascii="Arial" w:eastAsia="Arial" w:hAnsi="Arial" w:cs="Arial"/>
          <w:color w:val="000000"/>
          <w:sz w:val="24"/>
          <w:lang w:val="es-CU"/>
        </w:rPr>
        <w:t>Tetlock</w:t>
      </w:r>
      <w:proofErr w:type="spellEnd"/>
      <w:r w:rsidRPr="00767A9F">
        <w:rPr>
          <w:rFonts w:ascii="Arial" w:eastAsia="Arial" w:hAnsi="Arial" w:cs="Arial"/>
          <w:color w:val="000000"/>
          <w:sz w:val="24"/>
          <w:lang w:val="es-CU"/>
        </w:rPr>
        <w:t xml:space="preserve"> (1999), es el eje ético del modelo propuesto. En una universidad pública, la administración de contratos es un ejercicio de responsabilidad social. La articulación sistémica de las áreas económica, jurídica y operativa no solo busca eficiencia financiera, sino el cumplimiento auditable del encargo social, garantizando que cada recurso invertido o generado fortalezca la confianza de la sociedad y del Estado en la gestión universitaria. </w:t>
      </w:r>
    </w:p>
    <w:p w14:paraId="57DA44AB"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Metodología Propuesta</w:t>
      </w:r>
    </w:p>
    <w:p w14:paraId="6B894A95"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La investigación se define como un estudio de innovación organizacional, con un enfoque mixto (cualitativo y cuantitativo), de alcance descriptivo-propositivo y de tipo aplicada. Se emplean métodos teóricos como el Analítico-Sintético para descomponer el proceso actual de gestión contractual e identificar las variables críticas a transformar; el Inductivo-Deductivo para transitar de las teorías generales del </w:t>
      </w:r>
      <w:proofErr w:type="spellStart"/>
      <w:r w:rsidRPr="00767A9F">
        <w:rPr>
          <w:rFonts w:ascii="Arial" w:eastAsia="Arial" w:hAnsi="Arial" w:cs="Arial"/>
          <w:i/>
          <w:color w:val="000000"/>
          <w:sz w:val="24"/>
          <w:lang w:val="es-CU"/>
        </w:rPr>
        <w:t>Contract</w:t>
      </w:r>
      <w:proofErr w:type="spellEnd"/>
      <w:r w:rsidRPr="00767A9F">
        <w:rPr>
          <w:rFonts w:ascii="Arial" w:eastAsia="Arial" w:hAnsi="Arial" w:cs="Arial"/>
          <w:i/>
          <w:color w:val="000000"/>
          <w:sz w:val="24"/>
          <w:lang w:val="es-CU"/>
        </w:rPr>
        <w:t xml:space="preserve"> Management</w:t>
      </w:r>
      <w:r w:rsidRPr="00767A9F">
        <w:rPr>
          <w:rFonts w:ascii="Arial" w:eastAsia="Arial" w:hAnsi="Arial" w:cs="Arial"/>
          <w:color w:val="000000"/>
          <w:sz w:val="24"/>
          <w:lang w:val="es-CU"/>
        </w:rPr>
        <w:t xml:space="preserve"> y la administración hacia las particularidades operativas de la </w:t>
      </w:r>
      <w:proofErr w:type="spellStart"/>
      <w:r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y el Sistémico-Estructural para modelar la solución como un sistema de procesos interconectados, fundamentando teóricamente las dimensiones que deberán integrar el nuevo esquema de gestión.</w:t>
      </w:r>
    </w:p>
    <w:p w14:paraId="0CFF16A4" w14:textId="77777777" w:rsidR="009A534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eastAsia="Arial" w:hAnsi="Arial" w:cs="Arial"/>
          <w:color w:val="000000"/>
          <w:sz w:val="24"/>
          <w:lang w:val="es-CU"/>
        </w:rPr>
      </w:pPr>
      <w:r w:rsidRPr="00767A9F">
        <w:rPr>
          <w:rFonts w:ascii="Arial" w:eastAsia="Arial" w:hAnsi="Arial" w:cs="Arial"/>
          <w:color w:val="000000"/>
          <w:sz w:val="24"/>
          <w:lang w:val="es-CU"/>
        </w:rPr>
        <w:t xml:space="preserve">Los métodos empíricos incluyen el Análisis Documental de normativas, manuales de procedimientos, reglamentos vigentes, dictámenes de la Contraloría y expedientes de contratos; así como la Medición para captar magnitudes económicas (identificando posibles fugas de valor) y tiempos de respuesta en el ciclo de vida contractual. Las técnicas e instrumentos abarcan la Entrevista Semiestructurada a directivos, asesores jurídicos y gestores operativos para identificar fallas críticas, percepciones de riesgo y asimetrías informativas; junto con la Observación Directa sobre los flujos de trabajo </w:t>
      </w:r>
      <w:r w:rsidRPr="00767A9F">
        <w:rPr>
          <w:rFonts w:ascii="Arial" w:eastAsia="Arial" w:hAnsi="Arial" w:cs="Arial"/>
          <w:color w:val="000000"/>
          <w:sz w:val="24"/>
          <w:lang w:val="es-CU"/>
        </w:rPr>
        <w:lastRenderedPageBreak/>
        <w:t>y el uso de las herramientas informáticas actuales. Para el procesamiento de datos, se emplea la Estadística Descriptiva.</w:t>
      </w:r>
    </w:p>
    <w:p w14:paraId="39BC0889" w14:textId="2FF5A4A3" w:rsidR="00B56EC8" w:rsidRPr="00767A9F" w:rsidRDefault="00B56EC8"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Pr>
          <w:rFonts w:ascii="Arial" w:eastAsia="Arial" w:hAnsi="Arial" w:cs="Arial"/>
          <w:color w:val="000000"/>
          <w:sz w:val="24"/>
          <w:lang w:val="es-CU"/>
        </w:rPr>
        <w:t xml:space="preserve">Resultado de los métodos </w:t>
      </w:r>
      <w:r w:rsidR="006148B4">
        <w:rPr>
          <w:rFonts w:ascii="Arial" w:eastAsia="Arial" w:hAnsi="Arial" w:cs="Arial"/>
          <w:color w:val="000000"/>
          <w:sz w:val="24"/>
          <w:lang w:val="es-CU"/>
        </w:rPr>
        <w:t>aplicados</w:t>
      </w:r>
      <w:r>
        <w:rPr>
          <w:rFonts w:ascii="Arial" w:eastAsia="Arial" w:hAnsi="Arial" w:cs="Arial"/>
          <w:color w:val="000000"/>
          <w:sz w:val="24"/>
          <w:lang w:val="es-CU"/>
        </w:rPr>
        <w:t xml:space="preserve"> se triangul</w:t>
      </w:r>
      <w:r w:rsidR="006148B4">
        <w:rPr>
          <w:rFonts w:ascii="Arial" w:eastAsia="Arial" w:hAnsi="Arial" w:cs="Arial"/>
          <w:color w:val="000000"/>
          <w:sz w:val="24"/>
          <w:lang w:val="es-CU"/>
        </w:rPr>
        <w:t>a</w:t>
      </w:r>
      <w:r>
        <w:rPr>
          <w:rFonts w:ascii="Arial" w:eastAsia="Arial" w:hAnsi="Arial" w:cs="Arial"/>
          <w:color w:val="000000"/>
          <w:sz w:val="24"/>
          <w:lang w:val="es-CU"/>
        </w:rPr>
        <w:t xml:space="preserve"> la información y se constata: las </w:t>
      </w:r>
      <w:proofErr w:type="gramStart"/>
      <w:r>
        <w:rPr>
          <w:rFonts w:ascii="Arial" w:eastAsia="Arial" w:hAnsi="Arial" w:cs="Arial"/>
          <w:color w:val="000000"/>
          <w:sz w:val="24"/>
          <w:lang w:val="es-CU"/>
        </w:rPr>
        <w:t>potencialidades</w:t>
      </w:r>
      <w:r w:rsidR="006148B4">
        <w:rPr>
          <w:rFonts w:ascii="Arial" w:eastAsia="Arial" w:hAnsi="Arial" w:cs="Arial"/>
          <w:color w:val="000000"/>
          <w:sz w:val="24"/>
          <w:lang w:val="es-CU"/>
        </w:rPr>
        <w:t xml:space="preserve">  </w:t>
      </w:r>
      <w:r>
        <w:rPr>
          <w:rFonts w:ascii="Arial" w:eastAsia="Arial" w:hAnsi="Arial" w:cs="Arial"/>
          <w:color w:val="000000"/>
          <w:sz w:val="24"/>
          <w:lang w:val="es-CU"/>
        </w:rPr>
        <w:t>y</w:t>
      </w:r>
      <w:proofErr w:type="gramEnd"/>
      <w:r>
        <w:rPr>
          <w:rFonts w:ascii="Arial" w:eastAsia="Arial" w:hAnsi="Arial" w:cs="Arial"/>
          <w:color w:val="000000"/>
          <w:sz w:val="24"/>
          <w:lang w:val="es-CU"/>
        </w:rPr>
        <w:t xml:space="preserve">  debilidades</w:t>
      </w:r>
      <w:r w:rsidR="006148B4">
        <w:rPr>
          <w:rFonts w:ascii="Arial" w:eastAsia="Arial" w:hAnsi="Arial" w:cs="Arial"/>
          <w:color w:val="000000"/>
          <w:sz w:val="24"/>
          <w:lang w:val="es-CU"/>
        </w:rPr>
        <w:t xml:space="preserve"> que el proceso de contratación posee en la </w:t>
      </w:r>
      <w:proofErr w:type="spellStart"/>
      <w:r w:rsidR="006148B4">
        <w:rPr>
          <w:rFonts w:ascii="Arial" w:eastAsia="Arial" w:hAnsi="Arial" w:cs="Arial"/>
          <w:color w:val="000000"/>
          <w:sz w:val="24"/>
          <w:lang w:val="es-CU"/>
        </w:rPr>
        <w:t>UCf</w:t>
      </w:r>
      <w:proofErr w:type="spellEnd"/>
    </w:p>
    <w:p w14:paraId="31144342" w14:textId="0D9F6725"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El estudio se estructura en tres etapas secuenciales</w:t>
      </w:r>
      <w:r w:rsidR="006148B4">
        <w:rPr>
          <w:rFonts w:ascii="Arial" w:eastAsia="Arial" w:hAnsi="Arial" w:cs="Arial"/>
          <w:color w:val="000000"/>
          <w:sz w:val="24"/>
          <w:lang w:val="es-CU"/>
        </w:rPr>
        <w:t xml:space="preserve"> de un Manual de Procedimientos</w:t>
      </w:r>
      <w:r w:rsidRPr="00767A9F">
        <w:rPr>
          <w:rFonts w:ascii="Arial" w:eastAsia="Arial" w:hAnsi="Arial" w:cs="Arial"/>
          <w:color w:val="000000"/>
          <w:sz w:val="24"/>
          <w:lang w:val="es-CU"/>
        </w:rPr>
        <w:t>:</w:t>
      </w:r>
    </w:p>
    <w:p w14:paraId="7164FEDC" w14:textId="77777777" w:rsidR="009A534F" w:rsidRPr="00767A9F" w:rsidRDefault="00000000" w:rsidP="002C3A5A">
      <w:pPr>
        <w:pStyle w:val="Prrafodelista"/>
        <w:numPr>
          <w:ilvl w:val="0"/>
          <w:numId w:val="2"/>
        </w:num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Caracterización:</w:t>
      </w:r>
      <w:r w:rsidRPr="00767A9F">
        <w:rPr>
          <w:rFonts w:ascii="Arial" w:eastAsia="Arial" w:hAnsi="Arial" w:cs="Arial"/>
          <w:color w:val="000000"/>
          <w:sz w:val="24"/>
          <w:lang w:val="es-CU"/>
        </w:rPr>
        <w:t xml:space="preserve"> Levantamiento y compendio de la base normativa y teórica que rige la actividad económica, contractual y patrimonial de la universidad.</w:t>
      </w:r>
    </w:p>
    <w:p w14:paraId="4A922D7D" w14:textId="77777777" w:rsidR="009A534F" w:rsidRPr="00767A9F" w:rsidRDefault="00000000" w:rsidP="002C3A5A">
      <w:pPr>
        <w:pStyle w:val="Prrafodelista"/>
        <w:numPr>
          <w:ilvl w:val="0"/>
          <w:numId w:val="2"/>
        </w:num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Diagnóstico:</w:t>
      </w:r>
      <w:r w:rsidRPr="00767A9F">
        <w:rPr>
          <w:rFonts w:ascii="Arial" w:eastAsia="Arial" w:hAnsi="Arial" w:cs="Arial"/>
          <w:color w:val="000000"/>
          <w:sz w:val="24"/>
          <w:lang w:val="es-CU"/>
        </w:rPr>
        <w:t xml:space="preserve"> Orientado a demostrar empíricamente los puntos de ruptura, la desconexión informativa y la vulnerabilidad del sistema de control vigente.</w:t>
      </w:r>
    </w:p>
    <w:p w14:paraId="64E80015" w14:textId="77777777" w:rsidR="009A534F" w:rsidRPr="00767A9F" w:rsidRDefault="00000000" w:rsidP="002C3A5A">
      <w:pPr>
        <w:pStyle w:val="Prrafodelista"/>
        <w:numPr>
          <w:ilvl w:val="0"/>
          <w:numId w:val="2"/>
        </w:num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Diseño (Fase Propositiva):</w:t>
      </w:r>
      <w:r w:rsidRPr="00767A9F">
        <w:rPr>
          <w:rFonts w:ascii="Arial" w:eastAsia="Arial" w:hAnsi="Arial" w:cs="Arial"/>
          <w:color w:val="000000"/>
          <w:sz w:val="24"/>
          <w:lang w:val="es-CU"/>
        </w:rPr>
        <w:t xml:space="preserve"> Cuyo resultado no consiste en la redacción operativa de un documento final, sino en la determinación de los lineamientos estratégicos, requisitos de control y bases metodológicas ineludibles que deberán estructurar el futuro Manual de Procedimientos Institucional. La pertinencia y viabilidad de estos lineamientos serán sometidas a evaluación preliminar mediante el criterio de especialistas.</w:t>
      </w:r>
    </w:p>
    <w:p w14:paraId="520A4F1A"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b/>
          <w:color w:val="000000"/>
          <w:sz w:val="24"/>
          <w:lang w:val="es-CU"/>
        </w:rPr>
        <w:t>Conclusiones</w:t>
      </w:r>
    </w:p>
    <w:p w14:paraId="7089731B" w14:textId="4AF4EDFA"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La transformación de la gestión contractual en la </w:t>
      </w:r>
      <w:proofErr w:type="spellStart"/>
      <w:r w:rsidR="00767A9F" w:rsidRPr="00767A9F">
        <w:rPr>
          <w:rFonts w:ascii="Arial" w:eastAsia="Arial" w:hAnsi="Arial" w:cs="Arial"/>
          <w:color w:val="000000"/>
          <w:sz w:val="24"/>
          <w:lang w:val="es-CU"/>
        </w:rPr>
        <w:t>UCf</w:t>
      </w:r>
      <w:proofErr w:type="spellEnd"/>
      <w:r w:rsidRPr="00767A9F">
        <w:rPr>
          <w:rFonts w:ascii="Arial" w:eastAsia="Arial" w:hAnsi="Arial" w:cs="Arial"/>
          <w:color w:val="000000"/>
          <w:sz w:val="24"/>
          <w:lang w:val="es-CU"/>
        </w:rPr>
        <w:t xml:space="preserve"> constituye una necesidad ineludible para alinear su renovada capacidad jurídica y patrimonial con sus objetivos estratégicos. La superación del actual enfoque fragmentado resulta vital para articular de manera sistémica los procesos jurídicos, económicos y operativos. Solo a través de esta integración estructural es posible cerrar el vacío crítico existente, donde la formalidad jurídica se asume erróneamente como el fin del proceso, en lugar de operar como la base exigible para la validación real de la eficacia del negocio.</w:t>
      </w:r>
    </w:p>
    <w:p w14:paraId="6411CAC4" w14:textId="5DA83D00"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 xml:space="preserve">El abordaje sistémico propuesto </w:t>
      </w:r>
      <w:r w:rsidR="006148B4">
        <w:rPr>
          <w:rFonts w:ascii="Arial" w:eastAsia="Arial" w:hAnsi="Arial" w:cs="Arial"/>
          <w:color w:val="000000"/>
          <w:sz w:val="24"/>
          <w:lang w:val="es-CU"/>
        </w:rPr>
        <w:t>contribuye a</w:t>
      </w:r>
      <w:r w:rsidRPr="00767A9F">
        <w:rPr>
          <w:rFonts w:ascii="Arial" w:eastAsia="Arial" w:hAnsi="Arial" w:cs="Arial"/>
          <w:color w:val="000000"/>
          <w:sz w:val="24"/>
          <w:lang w:val="es-CU"/>
        </w:rPr>
        <w:t xml:space="preserve"> que el contrato trasciend</w:t>
      </w:r>
      <w:r w:rsidR="006148B4">
        <w:rPr>
          <w:rFonts w:ascii="Arial" w:eastAsia="Arial" w:hAnsi="Arial" w:cs="Arial"/>
          <w:color w:val="000000"/>
          <w:sz w:val="24"/>
          <w:lang w:val="es-CU"/>
        </w:rPr>
        <w:t>a</w:t>
      </w:r>
      <w:r w:rsidRPr="00767A9F">
        <w:rPr>
          <w:rFonts w:ascii="Arial" w:eastAsia="Arial" w:hAnsi="Arial" w:cs="Arial"/>
          <w:color w:val="000000"/>
          <w:sz w:val="24"/>
          <w:lang w:val="es-CU"/>
        </w:rPr>
        <w:t xml:space="preserve"> su condición de documento de archivo para erigirse como un activo estratégico. Su administración proactiva constituye el mecanismo idóneo para mitigar los riesgos derivados de la dualidad funcional de la institución garantizando, por un lado, la protección y rentabilidad del capital intelectual transferido al sector productivo y, por otro, la seguridad y eficiencia de la cadena de suministros que sostiene la vitalidad logística de la universidad.</w:t>
      </w:r>
    </w:p>
    <w:p w14:paraId="199CBA11" w14:textId="77777777" w:rsidR="009A534F" w:rsidRPr="00767A9F" w:rsidRDefault="00000000" w:rsidP="002C3A5A">
      <w:pPr>
        <w:pBdr>
          <w:top w:val="none" w:sz="4" w:space="0" w:color="000000"/>
          <w:left w:val="none" w:sz="4" w:space="0" w:color="000000"/>
          <w:bottom w:val="none" w:sz="4" w:space="0" w:color="000000"/>
          <w:right w:val="none" w:sz="4" w:space="0" w:color="000000"/>
        </w:pBdr>
        <w:spacing w:line="240" w:lineRule="auto"/>
        <w:jc w:val="both"/>
        <w:rPr>
          <w:rFonts w:ascii="Arial" w:hAnsi="Arial" w:cs="Arial"/>
          <w:lang w:val="es-CU"/>
        </w:rPr>
      </w:pPr>
      <w:r w:rsidRPr="00767A9F">
        <w:rPr>
          <w:rFonts w:ascii="Arial" w:eastAsia="Arial" w:hAnsi="Arial" w:cs="Arial"/>
          <w:color w:val="000000"/>
          <w:sz w:val="24"/>
          <w:lang w:val="es-CU"/>
        </w:rPr>
        <w:t>Finalmente, la estructuración de lineamientos metodológicos para un futuro modelo de gestión, apoyado en indicadores de rendimiento multidimensionales, dotará a la alta dirección de herramientas para transformar datos aislados en conocimiento estratégico. Esta evolución organizacional no solo previene las fugas de valor financiero, sino que consolida el principio de rendición de cuentas (</w:t>
      </w:r>
      <w:proofErr w:type="spellStart"/>
      <w:r w:rsidRPr="00767A9F">
        <w:rPr>
          <w:rFonts w:ascii="Arial" w:eastAsia="Arial" w:hAnsi="Arial" w:cs="Arial"/>
          <w:i/>
          <w:color w:val="000000"/>
          <w:sz w:val="24"/>
          <w:lang w:val="es-CU"/>
        </w:rPr>
        <w:t>accountability</w:t>
      </w:r>
      <w:proofErr w:type="spellEnd"/>
      <w:r w:rsidRPr="00767A9F">
        <w:rPr>
          <w:rFonts w:ascii="Arial" w:eastAsia="Arial" w:hAnsi="Arial" w:cs="Arial"/>
          <w:color w:val="000000"/>
          <w:sz w:val="24"/>
          <w:lang w:val="es-CU"/>
        </w:rPr>
        <w:t>), asegurando que cada compromiso contractual asuma y valide éticamente el encargo social de la universidad en el actual contexto económico cubano.</w:t>
      </w:r>
    </w:p>
    <w:p w14:paraId="4A55A63F" w14:textId="77777777" w:rsidR="009A534F" w:rsidRPr="00767A9F" w:rsidRDefault="00000000" w:rsidP="006873B9">
      <w:pPr>
        <w:spacing w:after="0" w:line="240" w:lineRule="auto"/>
        <w:jc w:val="both"/>
        <w:rPr>
          <w:rFonts w:ascii="Arial" w:hAnsi="Arial" w:cs="Arial"/>
          <w:b/>
          <w:bCs/>
          <w:sz w:val="24"/>
          <w:szCs w:val="24"/>
        </w:rPr>
      </w:pPr>
      <w:proofErr w:type="spellStart"/>
      <w:r w:rsidRPr="00767A9F">
        <w:rPr>
          <w:rFonts w:ascii="Arial" w:eastAsia="Arial" w:hAnsi="Arial" w:cs="Arial"/>
          <w:b/>
          <w:bCs/>
          <w:sz w:val="24"/>
          <w:szCs w:val="24"/>
        </w:rPr>
        <w:t>Referencias</w:t>
      </w:r>
      <w:proofErr w:type="spellEnd"/>
      <w:r w:rsidRPr="00767A9F">
        <w:rPr>
          <w:rFonts w:ascii="Arial" w:eastAsia="Arial" w:hAnsi="Arial" w:cs="Arial"/>
          <w:b/>
          <w:bCs/>
          <w:sz w:val="24"/>
          <w:szCs w:val="24"/>
        </w:rPr>
        <w:t xml:space="preserve"> </w:t>
      </w:r>
      <w:proofErr w:type="spellStart"/>
      <w:r w:rsidRPr="00767A9F">
        <w:rPr>
          <w:rFonts w:ascii="Arial" w:eastAsia="Arial" w:hAnsi="Arial" w:cs="Arial"/>
          <w:b/>
          <w:bCs/>
          <w:sz w:val="24"/>
          <w:szCs w:val="24"/>
        </w:rPr>
        <w:t>Bibliográficas</w:t>
      </w:r>
      <w:proofErr w:type="spellEnd"/>
    </w:p>
    <w:p w14:paraId="248721DE"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rPr>
        <w:t xml:space="preserve">Brooking, A. (1996). </w:t>
      </w:r>
      <w:r w:rsidRPr="00767A9F">
        <w:rPr>
          <w:rFonts w:ascii="Arial" w:eastAsia="Arial" w:hAnsi="Arial" w:cs="Arial"/>
          <w:i/>
          <w:iCs/>
        </w:rPr>
        <w:t>Intellectual capital: Core asset for the third millennium enterprise</w:t>
      </w:r>
      <w:r w:rsidRPr="00767A9F">
        <w:rPr>
          <w:rFonts w:ascii="Arial" w:eastAsia="Arial" w:hAnsi="Arial" w:cs="Arial"/>
        </w:rPr>
        <w:t xml:space="preserve">. </w:t>
      </w:r>
      <w:r w:rsidRPr="00767A9F">
        <w:rPr>
          <w:rFonts w:ascii="Arial" w:eastAsia="Arial" w:hAnsi="Arial" w:cs="Arial"/>
          <w:lang w:val="es-CU"/>
        </w:rPr>
        <w:t>International Thomson Business Press.</w:t>
      </w:r>
    </w:p>
    <w:p w14:paraId="6F2AF56C"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lang w:val="es-CU"/>
        </w:rPr>
        <w:t xml:space="preserve">Chiavenato, I. (2019). </w:t>
      </w:r>
      <w:r w:rsidRPr="00767A9F">
        <w:rPr>
          <w:rFonts w:ascii="Arial" w:eastAsia="Arial" w:hAnsi="Arial" w:cs="Arial"/>
          <w:i/>
          <w:iCs/>
          <w:lang w:val="es-CU"/>
        </w:rPr>
        <w:t>Introducción a la teoría general de la administración</w:t>
      </w:r>
      <w:r w:rsidRPr="00767A9F">
        <w:rPr>
          <w:rFonts w:ascii="Arial" w:eastAsia="Arial" w:hAnsi="Arial" w:cs="Arial"/>
          <w:lang w:val="es-CU"/>
        </w:rPr>
        <w:t xml:space="preserve"> (10.ª ed.). McGraw-Hill.</w:t>
      </w:r>
    </w:p>
    <w:p w14:paraId="5E161DC7"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lang w:val="es-CU"/>
        </w:rPr>
        <w:t xml:space="preserve">Consejo de Estado de la República de Cuba. (2012). </w:t>
      </w:r>
      <w:r w:rsidRPr="00767A9F">
        <w:rPr>
          <w:rFonts w:ascii="Arial" w:eastAsia="Arial" w:hAnsi="Arial" w:cs="Arial"/>
          <w:i/>
          <w:iCs/>
          <w:lang w:val="es-CU"/>
        </w:rPr>
        <w:t>Decreto-Ley No. 304 de la contratación económica</w:t>
      </w:r>
      <w:r w:rsidRPr="00767A9F">
        <w:rPr>
          <w:rFonts w:ascii="Arial" w:eastAsia="Arial" w:hAnsi="Arial" w:cs="Arial"/>
          <w:lang w:val="es-CU"/>
        </w:rPr>
        <w:t xml:space="preserve">. </w:t>
      </w:r>
      <w:r w:rsidRPr="00767A9F">
        <w:rPr>
          <w:rFonts w:ascii="Arial" w:eastAsia="Arial" w:hAnsi="Arial" w:cs="Arial"/>
          <w:i/>
          <w:iCs/>
          <w:lang w:val="es-CU"/>
        </w:rPr>
        <w:t>Gaceta Oficial de la República de Cuba</w:t>
      </w:r>
      <w:r w:rsidRPr="00767A9F">
        <w:rPr>
          <w:rFonts w:ascii="Arial" w:eastAsia="Arial" w:hAnsi="Arial" w:cs="Arial"/>
          <w:lang w:val="es-CU"/>
        </w:rPr>
        <w:t xml:space="preserve">. </w:t>
      </w:r>
      <w:hyperlink r:id="rId7" w:tgtFrame="_blank" w:history="1">
        <w:r w:rsidRPr="00767A9F">
          <w:rPr>
            <w:rStyle w:val="Hipervnculo"/>
            <w:rFonts w:ascii="Arial" w:eastAsia="Arial" w:hAnsi="Arial" w:cs="Arial"/>
            <w:lang w:val="es-CU"/>
          </w:rPr>
          <w:t>https://www.gacetaoficial.gob.cu/es/decreto-ley-304-de-2012-de-consejo-de-estado</w:t>
        </w:r>
      </w:hyperlink>
    </w:p>
    <w:p w14:paraId="11814AB7"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lang w:val="es-CU"/>
        </w:rPr>
        <w:lastRenderedPageBreak/>
        <w:t xml:space="preserve">Consejo de </w:t>
      </w:r>
      <w:proofErr w:type="gramStart"/>
      <w:r w:rsidRPr="00767A9F">
        <w:rPr>
          <w:rFonts w:ascii="Arial" w:eastAsia="Arial" w:hAnsi="Arial" w:cs="Arial"/>
          <w:lang w:val="es-CU"/>
        </w:rPr>
        <w:t>Ministros</w:t>
      </w:r>
      <w:proofErr w:type="gramEnd"/>
      <w:r w:rsidRPr="00767A9F">
        <w:rPr>
          <w:rFonts w:ascii="Arial" w:eastAsia="Arial" w:hAnsi="Arial" w:cs="Arial"/>
          <w:lang w:val="es-CU"/>
        </w:rPr>
        <w:t xml:space="preserve"> de la República de Cuba. (2025). </w:t>
      </w:r>
      <w:r w:rsidRPr="00767A9F">
        <w:rPr>
          <w:rFonts w:ascii="Arial" w:eastAsia="Arial" w:hAnsi="Arial" w:cs="Arial"/>
          <w:i/>
          <w:iCs/>
          <w:lang w:val="es-CU"/>
        </w:rPr>
        <w:t>Decreto No. 127 de 2025: De las instituciones presupuestadas</w:t>
      </w:r>
      <w:r w:rsidRPr="00767A9F">
        <w:rPr>
          <w:rFonts w:ascii="Arial" w:eastAsia="Arial" w:hAnsi="Arial" w:cs="Arial"/>
          <w:lang w:val="es-CU"/>
        </w:rPr>
        <w:t xml:space="preserve">. </w:t>
      </w:r>
      <w:r w:rsidRPr="00767A9F">
        <w:rPr>
          <w:rFonts w:ascii="Arial" w:eastAsia="Arial" w:hAnsi="Arial" w:cs="Arial"/>
          <w:i/>
          <w:iCs/>
          <w:lang w:val="es-CU"/>
        </w:rPr>
        <w:t>Gaceta Oficial de la República de Cuba</w:t>
      </w:r>
      <w:r w:rsidRPr="00767A9F">
        <w:rPr>
          <w:rFonts w:ascii="Arial" w:eastAsia="Arial" w:hAnsi="Arial" w:cs="Arial"/>
          <w:lang w:val="es-CU"/>
        </w:rPr>
        <w:t xml:space="preserve">. </w:t>
      </w:r>
      <w:hyperlink r:id="rId8" w:tgtFrame="_blank" w:history="1">
        <w:r w:rsidRPr="00767A9F">
          <w:rPr>
            <w:rStyle w:val="Hipervnculo"/>
            <w:rFonts w:ascii="Arial" w:eastAsia="Arial" w:hAnsi="Arial" w:cs="Arial"/>
            <w:lang w:val="es-CU"/>
          </w:rPr>
          <w:t>https://www.gacetaoficial.gob.cu/es/decreto-127-de-2025-de-consejo-de-ministros</w:t>
        </w:r>
      </w:hyperlink>
    </w:p>
    <w:p w14:paraId="281C05C8"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lang w:val="es-CU"/>
        </w:rPr>
        <w:t xml:space="preserve">Consejo de Estado de la República de Cuba. (2025). </w:t>
      </w:r>
      <w:r w:rsidRPr="00767A9F">
        <w:rPr>
          <w:rFonts w:ascii="Arial" w:eastAsia="Arial" w:hAnsi="Arial" w:cs="Arial"/>
          <w:i/>
          <w:iCs/>
          <w:lang w:val="es-CU"/>
        </w:rPr>
        <w:t>Decreto-Ley No. 114 de 2025: De la asociación entre entidades empresariales estatales y no estatales</w:t>
      </w:r>
      <w:r w:rsidRPr="00767A9F">
        <w:rPr>
          <w:rFonts w:ascii="Arial" w:eastAsia="Arial" w:hAnsi="Arial" w:cs="Arial"/>
          <w:lang w:val="es-CU"/>
        </w:rPr>
        <w:t xml:space="preserve">. </w:t>
      </w:r>
      <w:r w:rsidRPr="00767A9F">
        <w:rPr>
          <w:rFonts w:ascii="Arial" w:eastAsia="Arial" w:hAnsi="Arial" w:cs="Arial"/>
          <w:i/>
          <w:iCs/>
          <w:lang w:val="es-CU"/>
        </w:rPr>
        <w:t>Gaceta Oficial de la República de Cuba</w:t>
      </w:r>
      <w:r w:rsidRPr="00767A9F">
        <w:rPr>
          <w:rFonts w:ascii="Arial" w:eastAsia="Arial" w:hAnsi="Arial" w:cs="Arial"/>
          <w:lang w:val="es-CU"/>
        </w:rPr>
        <w:t xml:space="preserve">. </w:t>
      </w:r>
      <w:hyperlink r:id="rId9" w:tgtFrame="_blank" w:history="1">
        <w:r w:rsidRPr="00767A9F">
          <w:rPr>
            <w:rStyle w:val="Hipervnculo"/>
            <w:rFonts w:ascii="Arial" w:eastAsia="Arial" w:hAnsi="Arial" w:cs="Arial"/>
            <w:lang w:val="es-CU"/>
          </w:rPr>
          <w:t>https://www.gacetaoficial.gob.cu/sites/default/files/goc-2026-o24_1.pdf</w:t>
        </w:r>
      </w:hyperlink>
    </w:p>
    <w:p w14:paraId="56167F14"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lang w:val="es-CU"/>
        </w:rPr>
        <w:t xml:space="preserve">Etkin, J. (2000). </w:t>
      </w:r>
      <w:r w:rsidRPr="00767A9F">
        <w:rPr>
          <w:rFonts w:ascii="Arial" w:eastAsia="Arial" w:hAnsi="Arial" w:cs="Arial"/>
          <w:i/>
          <w:iCs/>
          <w:lang w:val="es-CU"/>
        </w:rPr>
        <w:t>Política, gobierno y gestión de las organizaciones</w:t>
      </w:r>
      <w:r w:rsidRPr="00767A9F">
        <w:rPr>
          <w:rFonts w:ascii="Arial" w:eastAsia="Arial" w:hAnsi="Arial" w:cs="Arial"/>
          <w:lang w:val="es-CU"/>
        </w:rPr>
        <w:t>. Paidós.</w:t>
      </w:r>
    </w:p>
    <w:p w14:paraId="38160FA9"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proofErr w:type="spellStart"/>
      <w:r w:rsidRPr="00767A9F">
        <w:rPr>
          <w:rFonts w:ascii="Arial" w:eastAsia="Arial" w:hAnsi="Arial" w:cs="Arial"/>
          <w:lang w:val="es-CU"/>
        </w:rPr>
        <w:t>Farina</w:t>
      </w:r>
      <w:proofErr w:type="spellEnd"/>
      <w:r w:rsidRPr="00767A9F">
        <w:rPr>
          <w:rFonts w:ascii="Arial" w:eastAsia="Arial" w:hAnsi="Arial" w:cs="Arial"/>
          <w:lang w:val="es-CU"/>
        </w:rPr>
        <w:t xml:space="preserve">, J. M. (2012). </w:t>
      </w:r>
      <w:r w:rsidRPr="00767A9F">
        <w:rPr>
          <w:rFonts w:ascii="Arial" w:eastAsia="Arial" w:hAnsi="Arial" w:cs="Arial"/>
          <w:i/>
          <w:iCs/>
          <w:lang w:val="es-CU"/>
        </w:rPr>
        <w:t>Contratos comerciales modernos</w:t>
      </w:r>
      <w:r w:rsidRPr="00767A9F">
        <w:rPr>
          <w:rFonts w:ascii="Arial" w:eastAsia="Arial" w:hAnsi="Arial" w:cs="Arial"/>
          <w:lang w:val="es-CU"/>
        </w:rPr>
        <w:t xml:space="preserve"> (4.ª ed.). Astrea.</w:t>
      </w:r>
    </w:p>
    <w:p w14:paraId="4163A7BA"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Garrett, G. A. (2010). </w:t>
      </w:r>
      <w:r w:rsidRPr="00767A9F">
        <w:rPr>
          <w:rFonts w:ascii="Arial" w:eastAsia="Arial" w:hAnsi="Arial" w:cs="Arial"/>
          <w:i/>
          <w:iCs/>
        </w:rPr>
        <w:t>World-class contract management: The next frontier</w:t>
      </w:r>
      <w:r w:rsidRPr="00767A9F">
        <w:rPr>
          <w:rFonts w:ascii="Arial" w:eastAsia="Arial" w:hAnsi="Arial" w:cs="Arial"/>
        </w:rPr>
        <w:t xml:space="preserve"> (5th ed.). CCH.</w:t>
      </w:r>
    </w:p>
    <w:p w14:paraId="2726628A"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Garrett, G. A., &amp; Rendon, R. G. (2005). </w:t>
      </w:r>
      <w:r w:rsidRPr="00767A9F">
        <w:rPr>
          <w:rFonts w:ascii="Arial" w:eastAsia="Arial" w:hAnsi="Arial" w:cs="Arial"/>
          <w:i/>
          <w:iCs/>
        </w:rPr>
        <w:t>Contract management: Organizational assessment tools</w:t>
      </w:r>
      <w:r w:rsidRPr="00767A9F">
        <w:rPr>
          <w:rFonts w:ascii="Arial" w:eastAsia="Arial" w:hAnsi="Arial" w:cs="Arial"/>
        </w:rPr>
        <w:t>. National Contract Management Association.</w:t>
      </w:r>
    </w:p>
    <w:p w14:paraId="069F050E"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Hopkin, P. (2018). </w:t>
      </w:r>
      <w:r w:rsidRPr="00767A9F">
        <w:rPr>
          <w:rFonts w:ascii="Arial" w:eastAsia="Arial" w:hAnsi="Arial" w:cs="Arial"/>
          <w:i/>
          <w:iCs/>
        </w:rPr>
        <w:t>Fundamentals of risk management: Understanding, evaluating and implementing effective risk management</w:t>
      </w:r>
      <w:r w:rsidRPr="00767A9F">
        <w:rPr>
          <w:rFonts w:ascii="Arial" w:eastAsia="Arial" w:hAnsi="Arial" w:cs="Arial"/>
        </w:rPr>
        <w:t xml:space="preserve"> (4th ed.). Kogan Page.</w:t>
      </w:r>
    </w:p>
    <w:p w14:paraId="1D91910D"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Kaplan, R. S., &amp; Norton, D. P. (2001). </w:t>
      </w:r>
      <w:r w:rsidRPr="00767A9F">
        <w:rPr>
          <w:rFonts w:ascii="Arial" w:eastAsia="Arial" w:hAnsi="Arial" w:cs="Arial"/>
          <w:i/>
          <w:iCs/>
        </w:rPr>
        <w:t>The strategy-focused organization: How balanced scorecard companies thrive in the new business environment</w:t>
      </w:r>
      <w:r w:rsidRPr="00767A9F">
        <w:rPr>
          <w:rFonts w:ascii="Arial" w:eastAsia="Arial" w:hAnsi="Arial" w:cs="Arial"/>
        </w:rPr>
        <w:t>. Harvard Business School Press.</w:t>
      </w:r>
    </w:p>
    <w:p w14:paraId="74766494"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Lerner, J. S., &amp; Tetlock, P. E. (1999). Accounting for the effects of accountability. </w:t>
      </w:r>
      <w:r w:rsidRPr="00767A9F">
        <w:rPr>
          <w:rFonts w:ascii="Arial" w:eastAsia="Arial" w:hAnsi="Arial" w:cs="Arial"/>
          <w:i/>
          <w:iCs/>
        </w:rPr>
        <w:t>Psychological Bulletin, 125</w:t>
      </w:r>
      <w:r w:rsidRPr="00767A9F">
        <w:rPr>
          <w:rFonts w:ascii="Arial" w:eastAsia="Arial" w:hAnsi="Arial" w:cs="Arial"/>
        </w:rPr>
        <w:t xml:space="preserve">(2), 221–235. </w:t>
      </w:r>
      <w:hyperlink r:id="rId10" w:tgtFrame="_blank" w:history="1">
        <w:r w:rsidRPr="00767A9F">
          <w:rPr>
            <w:rStyle w:val="Hipervnculo"/>
            <w:rFonts w:ascii="Arial" w:eastAsia="Arial" w:hAnsi="Arial" w:cs="Arial"/>
          </w:rPr>
          <w:t>https://doi.org/10.1037/0033-2909.125.2.221</w:t>
        </w:r>
      </w:hyperlink>
    </w:p>
    <w:p w14:paraId="7CFD7F31"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Macneil, I. R. (2000). </w:t>
      </w:r>
      <w:r w:rsidRPr="00767A9F">
        <w:rPr>
          <w:rFonts w:ascii="Arial" w:eastAsia="Arial" w:hAnsi="Arial" w:cs="Arial"/>
          <w:i/>
          <w:iCs/>
        </w:rPr>
        <w:t>The relational theory of contract</w:t>
      </w:r>
      <w:r w:rsidRPr="00767A9F">
        <w:rPr>
          <w:rFonts w:ascii="Arial" w:eastAsia="Arial" w:hAnsi="Arial" w:cs="Arial"/>
        </w:rPr>
        <w:t>. Sweet &amp; Maxwell.</w:t>
      </w:r>
    </w:p>
    <w:p w14:paraId="24057DB4" w14:textId="77777777" w:rsidR="008D2741" w:rsidRPr="00767A9F"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rPr>
        <w:t xml:space="preserve">Mooi, E. A., &amp; Gilliland, D. I. (2013). How to structure a service contract? </w:t>
      </w:r>
      <w:proofErr w:type="spellStart"/>
      <w:r w:rsidRPr="00767A9F">
        <w:rPr>
          <w:rFonts w:ascii="Arial" w:eastAsia="Arial" w:hAnsi="Arial" w:cs="Arial"/>
          <w:i/>
          <w:iCs/>
          <w:lang w:val="es-CU"/>
        </w:rPr>
        <w:t>Journal</w:t>
      </w:r>
      <w:proofErr w:type="spellEnd"/>
      <w:r w:rsidRPr="00767A9F">
        <w:rPr>
          <w:rFonts w:ascii="Arial" w:eastAsia="Arial" w:hAnsi="Arial" w:cs="Arial"/>
          <w:i/>
          <w:iCs/>
          <w:lang w:val="es-CU"/>
        </w:rPr>
        <w:t xml:space="preserve"> </w:t>
      </w:r>
      <w:proofErr w:type="spellStart"/>
      <w:r w:rsidRPr="00767A9F">
        <w:rPr>
          <w:rFonts w:ascii="Arial" w:eastAsia="Arial" w:hAnsi="Arial" w:cs="Arial"/>
          <w:i/>
          <w:iCs/>
          <w:lang w:val="es-CU"/>
        </w:rPr>
        <w:t>of</w:t>
      </w:r>
      <w:proofErr w:type="spellEnd"/>
      <w:r w:rsidRPr="00767A9F">
        <w:rPr>
          <w:rFonts w:ascii="Arial" w:eastAsia="Arial" w:hAnsi="Arial" w:cs="Arial"/>
          <w:i/>
          <w:iCs/>
          <w:lang w:val="es-CU"/>
        </w:rPr>
        <w:t xml:space="preserve"> Marketing, 77</w:t>
      </w:r>
      <w:r w:rsidRPr="00767A9F">
        <w:rPr>
          <w:rFonts w:ascii="Arial" w:eastAsia="Arial" w:hAnsi="Arial" w:cs="Arial"/>
          <w:lang w:val="es-CU"/>
        </w:rPr>
        <w:t xml:space="preserve">(1), 65–81. </w:t>
      </w:r>
      <w:hyperlink r:id="rId11" w:tgtFrame="_blank" w:history="1">
        <w:r w:rsidRPr="00767A9F">
          <w:rPr>
            <w:rStyle w:val="Hipervnculo"/>
            <w:rFonts w:ascii="Arial" w:eastAsia="Arial" w:hAnsi="Arial" w:cs="Arial"/>
            <w:lang w:val="es-CU"/>
          </w:rPr>
          <w:t>https://doi.org/10.1509/jm.11.0461</w:t>
        </w:r>
      </w:hyperlink>
    </w:p>
    <w:p w14:paraId="01B42275" w14:textId="77777777" w:rsidR="008D2741" w:rsidRPr="00767A9F" w:rsidRDefault="008D2741" w:rsidP="008D2741">
      <w:pPr>
        <w:pStyle w:val="NormalWeb"/>
        <w:spacing w:before="0" w:beforeAutospacing="0" w:after="0" w:afterAutospacing="0"/>
        <w:jc w:val="both"/>
        <w:rPr>
          <w:rFonts w:ascii="Arial" w:eastAsia="Arial" w:hAnsi="Arial" w:cs="Arial"/>
        </w:rPr>
      </w:pPr>
      <w:proofErr w:type="spellStart"/>
      <w:r w:rsidRPr="00767A9F">
        <w:rPr>
          <w:rFonts w:ascii="Arial" w:eastAsia="Arial" w:hAnsi="Arial" w:cs="Arial"/>
          <w:lang w:val="es-CU"/>
        </w:rPr>
        <w:t>Pavez</w:t>
      </w:r>
      <w:proofErr w:type="spellEnd"/>
      <w:r w:rsidRPr="00767A9F">
        <w:rPr>
          <w:rFonts w:ascii="Arial" w:eastAsia="Arial" w:hAnsi="Arial" w:cs="Arial"/>
          <w:lang w:val="es-CU"/>
        </w:rPr>
        <w:t xml:space="preserve">, A. (2000). </w:t>
      </w:r>
      <w:r w:rsidRPr="00767A9F">
        <w:rPr>
          <w:rFonts w:ascii="Arial" w:eastAsia="Arial" w:hAnsi="Arial" w:cs="Arial"/>
          <w:i/>
          <w:iCs/>
          <w:lang w:val="es-CU"/>
        </w:rPr>
        <w:t>Modelo de gestión del conocimiento: Una visión socio-técnica</w:t>
      </w:r>
      <w:r w:rsidRPr="00767A9F">
        <w:rPr>
          <w:rFonts w:ascii="Arial" w:eastAsia="Arial" w:hAnsi="Arial" w:cs="Arial"/>
          <w:lang w:val="es-CU"/>
        </w:rPr>
        <w:t xml:space="preserve">. </w:t>
      </w:r>
      <w:r w:rsidRPr="00767A9F">
        <w:rPr>
          <w:rFonts w:ascii="Arial" w:eastAsia="Arial" w:hAnsi="Arial" w:cs="Arial"/>
        </w:rPr>
        <w:t>Universidad Técnica Federico Santa María.</w:t>
      </w:r>
    </w:p>
    <w:p w14:paraId="769AA197"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Rendon, R. G. (2011). </w:t>
      </w:r>
      <w:r w:rsidRPr="00767A9F">
        <w:rPr>
          <w:rFonts w:ascii="Arial" w:eastAsia="Arial" w:hAnsi="Arial" w:cs="Arial"/>
          <w:i/>
          <w:iCs/>
        </w:rPr>
        <w:t>Assessment of Army Contracting Command’s contract management processes (TACOM and RDECOM)</w:t>
      </w:r>
      <w:r w:rsidRPr="00767A9F">
        <w:rPr>
          <w:rFonts w:ascii="Arial" w:eastAsia="Arial" w:hAnsi="Arial" w:cs="Arial"/>
        </w:rPr>
        <w:t xml:space="preserve"> (NPS-CM-11-019). Naval Postgraduate School. </w:t>
      </w:r>
      <w:hyperlink r:id="rId12" w:tgtFrame="_blank" w:history="1">
        <w:r w:rsidRPr="00767A9F">
          <w:rPr>
            <w:rStyle w:val="Hipervnculo"/>
            <w:rFonts w:ascii="Arial" w:eastAsia="Arial" w:hAnsi="Arial" w:cs="Arial"/>
          </w:rPr>
          <w:t>https://calhoun.nps.edu/handle/10945/28643</w:t>
        </w:r>
      </w:hyperlink>
    </w:p>
    <w:p w14:paraId="25361BD0" w14:textId="77777777" w:rsidR="008D2741" w:rsidRPr="00767A9F" w:rsidRDefault="008D2741" w:rsidP="008D2741">
      <w:pPr>
        <w:pStyle w:val="NormalWeb"/>
        <w:spacing w:before="0" w:beforeAutospacing="0" w:after="0" w:afterAutospacing="0"/>
        <w:jc w:val="both"/>
        <w:rPr>
          <w:rFonts w:ascii="Arial" w:eastAsia="Arial" w:hAnsi="Arial" w:cs="Arial"/>
        </w:rPr>
      </w:pPr>
      <w:r w:rsidRPr="00767A9F">
        <w:rPr>
          <w:rFonts w:ascii="Arial" w:eastAsia="Arial" w:hAnsi="Arial" w:cs="Arial"/>
        </w:rPr>
        <w:t xml:space="preserve">Williamson, O. E. (1985). </w:t>
      </w:r>
      <w:r w:rsidRPr="00767A9F">
        <w:rPr>
          <w:rFonts w:ascii="Arial" w:eastAsia="Arial" w:hAnsi="Arial" w:cs="Arial"/>
          <w:i/>
          <w:iCs/>
        </w:rPr>
        <w:t>The economic institutions of capitalism: Firms, markets, relational contracting</w:t>
      </w:r>
      <w:r w:rsidRPr="00767A9F">
        <w:rPr>
          <w:rFonts w:ascii="Arial" w:eastAsia="Arial" w:hAnsi="Arial" w:cs="Arial"/>
        </w:rPr>
        <w:t>. Free Press.</w:t>
      </w:r>
    </w:p>
    <w:p w14:paraId="27D5D201" w14:textId="77777777" w:rsidR="008D2741" w:rsidRPr="008D2741" w:rsidRDefault="008D2741" w:rsidP="008D2741">
      <w:pPr>
        <w:pStyle w:val="NormalWeb"/>
        <w:spacing w:before="0" w:beforeAutospacing="0" w:after="0" w:afterAutospacing="0"/>
        <w:jc w:val="both"/>
        <w:rPr>
          <w:rFonts w:ascii="Arial" w:eastAsia="Arial" w:hAnsi="Arial" w:cs="Arial"/>
          <w:lang w:val="es-CU"/>
        </w:rPr>
      </w:pPr>
      <w:r w:rsidRPr="00767A9F">
        <w:rPr>
          <w:rFonts w:ascii="Arial" w:eastAsia="Arial" w:hAnsi="Arial" w:cs="Arial"/>
        </w:rPr>
        <w:t xml:space="preserve">World Commerce &amp; Contracting. (2019). </w:t>
      </w:r>
      <w:r w:rsidRPr="00767A9F">
        <w:rPr>
          <w:rFonts w:ascii="Arial" w:eastAsia="Arial" w:hAnsi="Arial" w:cs="Arial"/>
          <w:i/>
          <w:iCs/>
        </w:rPr>
        <w:t>Maximizing ROI from effective contract management: Value leakage report</w:t>
      </w:r>
      <w:r w:rsidRPr="00767A9F">
        <w:rPr>
          <w:rFonts w:ascii="Arial" w:eastAsia="Arial" w:hAnsi="Arial" w:cs="Arial"/>
        </w:rPr>
        <w:t xml:space="preserve">. </w:t>
      </w:r>
      <w:hyperlink r:id="rId13" w:tgtFrame="_blank" w:history="1">
        <w:r w:rsidRPr="00767A9F">
          <w:rPr>
            <w:rStyle w:val="Hipervnculo"/>
            <w:rFonts w:ascii="Arial" w:eastAsia="Arial" w:hAnsi="Arial" w:cs="Arial"/>
            <w:lang w:val="es-CU"/>
          </w:rPr>
          <w:t>https://www.worldcc.com/knowledge-insights/knowledge-library-search.html</w:t>
        </w:r>
      </w:hyperlink>
    </w:p>
    <w:p w14:paraId="7B363DAA" w14:textId="66FD753A" w:rsidR="0033361E" w:rsidRPr="0033361E" w:rsidRDefault="0033361E" w:rsidP="0033361E">
      <w:pPr>
        <w:pStyle w:val="NormalWeb"/>
        <w:spacing w:before="0" w:beforeAutospacing="0" w:after="0" w:afterAutospacing="0"/>
        <w:jc w:val="both"/>
        <w:rPr>
          <w:rFonts w:ascii="Arial" w:eastAsia="Arial" w:hAnsi="Arial" w:cs="Arial"/>
          <w:lang w:val="es-CU"/>
        </w:rPr>
      </w:pPr>
    </w:p>
    <w:p w14:paraId="1FA57E3D" w14:textId="689BBD7E" w:rsidR="009A534F" w:rsidRDefault="009A534F" w:rsidP="0033361E">
      <w:pPr>
        <w:pStyle w:val="NormalWeb"/>
        <w:spacing w:before="0" w:beforeAutospacing="0" w:after="0" w:afterAutospacing="0"/>
        <w:jc w:val="both"/>
        <w:rPr>
          <w:rFonts w:ascii="Arial" w:hAnsi="Arial" w:cs="Arial"/>
        </w:rPr>
      </w:pPr>
    </w:p>
    <w:sectPr w:rsidR="009A534F">
      <w:pgSz w:w="11906" w:h="16838"/>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EF7C7" w14:textId="77777777" w:rsidR="005E3DC1" w:rsidRDefault="005E3DC1">
      <w:pPr>
        <w:spacing w:after="0" w:line="240" w:lineRule="auto"/>
      </w:pPr>
      <w:r>
        <w:separator/>
      </w:r>
    </w:p>
  </w:endnote>
  <w:endnote w:type="continuationSeparator" w:id="0">
    <w:p w14:paraId="3D783F4C" w14:textId="77777777" w:rsidR="005E3DC1" w:rsidRDefault="005E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ECD8" w14:textId="77777777" w:rsidR="005E3DC1" w:rsidRDefault="005E3DC1">
      <w:pPr>
        <w:spacing w:after="0" w:line="240" w:lineRule="auto"/>
      </w:pPr>
      <w:r>
        <w:separator/>
      </w:r>
    </w:p>
  </w:footnote>
  <w:footnote w:type="continuationSeparator" w:id="0">
    <w:p w14:paraId="0F9AF75E" w14:textId="77777777" w:rsidR="005E3DC1" w:rsidRDefault="005E3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0F782"/>
    <w:multiLevelType w:val="multilevel"/>
    <w:tmpl w:val="3D16E73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 w15:restartNumberingAfterBreak="0">
    <w:nsid w:val="5DAAD393"/>
    <w:multiLevelType w:val="multilevel"/>
    <w:tmpl w:val="037ABF8C"/>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16cid:durableId="224268390">
    <w:abstractNumId w:val="0"/>
  </w:num>
  <w:num w:numId="2" w16cid:durableId="421100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34F"/>
    <w:rsid w:val="000B3918"/>
    <w:rsid w:val="001014F8"/>
    <w:rsid w:val="00211693"/>
    <w:rsid w:val="002C3A5A"/>
    <w:rsid w:val="0033361E"/>
    <w:rsid w:val="0038680B"/>
    <w:rsid w:val="003D3095"/>
    <w:rsid w:val="003F2D77"/>
    <w:rsid w:val="005E3DC1"/>
    <w:rsid w:val="006148B4"/>
    <w:rsid w:val="006873B9"/>
    <w:rsid w:val="00702589"/>
    <w:rsid w:val="00753487"/>
    <w:rsid w:val="00767A9F"/>
    <w:rsid w:val="00787734"/>
    <w:rsid w:val="00793951"/>
    <w:rsid w:val="008D2741"/>
    <w:rsid w:val="009A534F"/>
    <w:rsid w:val="009D35AB"/>
    <w:rsid w:val="00A96516"/>
    <w:rsid w:val="00B56EC8"/>
    <w:rsid w:val="00DA7D3E"/>
    <w:rsid w:val="00DE361D"/>
    <w:rsid w:val="00DF4EA8"/>
    <w:rsid w:val="00E21123"/>
    <w:rsid w:val="00F67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9AAD7"/>
  <w15:docId w15:val="{9F0EB356-B429-4ACE-9CEA-826E35F3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a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anormal1">
    <w:name w:val="Plain Table 1"/>
    <w:basedOn w:val="Tabla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anormal2">
    <w:name w:val="Plain Table 2"/>
    <w:basedOn w:val="Tabla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anormal3">
    <w:name w:val="Plain Table 3"/>
    <w:basedOn w:val="Tabla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4">
    <w:name w:val="Plain Table 4"/>
    <w:basedOn w:val="Tabla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5">
    <w:name w:val="Plain Table 5"/>
    <w:basedOn w:val="Tabla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concuadrcula1clara">
    <w:name w:val="Grid Table 1 Light"/>
    <w:basedOn w:val="Tabla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a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a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a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a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a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a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adecuadrcula2">
    <w:name w:val="Grid Table 2"/>
    <w:basedOn w:val="Tab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a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a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a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a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a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a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adecuadrcula3">
    <w:name w:val="Grid Table 3"/>
    <w:basedOn w:val="Tab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a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a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a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a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a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a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adecuadrcula4">
    <w:name w:val="Grid Table 4"/>
    <w:basedOn w:val="Tabla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a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a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a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a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a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a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aconcuadrcula5oscura">
    <w:name w:val="Grid Table 5 Dark"/>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aconcuadrcula6concolores">
    <w:name w:val="Grid Table 6 Colorful"/>
    <w:basedOn w:val="Tabla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a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a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a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a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a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a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aconcuadrcula7concolores">
    <w:name w:val="Grid Table 7 Colorful"/>
    <w:basedOn w:val="Tabla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a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a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a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a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a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a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adelista1clara">
    <w:name w:val="List Table 1 Light"/>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adelista2">
    <w:name w:val="List Table 2"/>
    <w:basedOn w:val="Tabla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a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a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a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a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a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a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adelista3">
    <w:name w:val="List Table 3"/>
    <w:basedOn w:val="Tab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a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a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a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a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a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a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adelista4">
    <w:name w:val="List Table 4"/>
    <w:basedOn w:val="Tab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a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a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a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a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a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a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adelista5oscura">
    <w:name w:val="List Table 5 Dark"/>
    <w:basedOn w:val="Tabla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a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a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a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a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a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a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adelista6concolores">
    <w:name w:val="List Table 6 Colorful"/>
    <w:basedOn w:val="Tabla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a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a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a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a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a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a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adelista7concolores">
    <w:name w:val="List Table 7 Colorful"/>
    <w:basedOn w:val="Tabla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a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a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a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a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a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a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anormal"/>
    <w:uiPriority w:val="99"/>
    <w:pPr>
      <w:spacing w:after="0" w:line="240" w:lineRule="auto"/>
    </w:pPr>
    <w:rPr>
      <w:color w:val="404040"/>
      <w:sz w:val="20"/>
      <w:szCs w:val="20"/>
      <w:lang w:val="es-CU" w:eastAsia="es-C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anormal"/>
    <w:uiPriority w:val="99"/>
    <w:pPr>
      <w:spacing w:after="0" w:line="240" w:lineRule="auto"/>
    </w:pPr>
    <w:rPr>
      <w:color w:val="404040"/>
      <w:sz w:val="20"/>
      <w:szCs w:val="20"/>
      <w:lang w:val="es-CU" w:eastAsia="es-C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a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a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a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a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a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a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a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Fuentedeprrafopredeter"/>
    <w:uiPriority w:val="9"/>
    <w:rPr>
      <w:rFonts w:ascii="Arial" w:eastAsia="Arial" w:hAnsi="Arial" w:cs="Arial"/>
      <w:color w:val="2F5496" w:themeColor="accent1" w:themeShade="BF"/>
      <w:sz w:val="40"/>
      <w:szCs w:val="40"/>
    </w:rPr>
  </w:style>
  <w:style w:type="character" w:customStyle="1" w:styleId="Heading2Char">
    <w:name w:val="Heading 2 Char"/>
    <w:basedOn w:val="Fuentedeprrafopredeter"/>
    <w:uiPriority w:val="9"/>
    <w:rPr>
      <w:rFonts w:ascii="Arial" w:eastAsia="Arial" w:hAnsi="Arial" w:cs="Arial"/>
      <w:color w:val="2F5496" w:themeColor="accent1" w:themeShade="BF"/>
      <w:sz w:val="32"/>
      <w:szCs w:val="32"/>
    </w:rPr>
  </w:style>
  <w:style w:type="character" w:customStyle="1" w:styleId="Heading3Char">
    <w:name w:val="Heading 3 Char"/>
    <w:basedOn w:val="Fuentedeprrafopredeter"/>
    <w:uiPriority w:val="9"/>
    <w:rPr>
      <w:rFonts w:ascii="Arial" w:eastAsia="Arial" w:hAnsi="Arial" w:cs="Arial"/>
      <w:color w:val="2F5496" w:themeColor="accent1" w:themeShade="BF"/>
      <w:sz w:val="28"/>
      <w:szCs w:val="28"/>
    </w:rPr>
  </w:style>
  <w:style w:type="character" w:customStyle="1" w:styleId="Heading4Char">
    <w:name w:val="Heading 4 Char"/>
    <w:basedOn w:val="Fuentedeprrafopredeter"/>
    <w:uiPriority w:val="9"/>
    <w:rPr>
      <w:rFonts w:ascii="Arial" w:eastAsia="Arial" w:hAnsi="Arial" w:cs="Arial"/>
      <w:i/>
      <w:iCs/>
      <w:color w:val="2F5496" w:themeColor="accent1" w:themeShade="BF"/>
    </w:rPr>
  </w:style>
  <w:style w:type="character" w:customStyle="1" w:styleId="Heading5Char">
    <w:name w:val="Heading 5 Char"/>
    <w:basedOn w:val="Fuentedeprrafopredeter"/>
    <w:uiPriority w:val="9"/>
    <w:rPr>
      <w:rFonts w:ascii="Arial" w:eastAsia="Arial" w:hAnsi="Arial" w:cs="Arial"/>
      <w:color w:val="2F5496" w:themeColor="accent1" w:themeShade="BF"/>
    </w:rPr>
  </w:style>
  <w:style w:type="character" w:customStyle="1" w:styleId="Heading6Char">
    <w:name w:val="Heading 6 Char"/>
    <w:basedOn w:val="Fuentedeprrafopredeter"/>
    <w:uiPriority w:val="9"/>
    <w:rPr>
      <w:rFonts w:ascii="Arial" w:eastAsia="Arial" w:hAnsi="Arial" w:cs="Arial"/>
      <w:i/>
      <w:iCs/>
      <w:color w:val="595959" w:themeColor="text1" w:themeTint="A6"/>
    </w:rPr>
  </w:style>
  <w:style w:type="character" w:customStyle="1" w:styleId="Heading7Char">
    <w:name w:val="Heading 7 Char"/>
    <w:basedOn w:val="Fuentedeprrafopredeter"/>
    <w:uiPriority w:val="9"/>
    <w:rPr>
      <w:rFonts w:ascii="Arial" w:eastAsia="Arial" w:hAnsi="Arial" w:cs="Arial"/>
      <w:color w:val="595959" w:themeColor="text1" w:themeTint="A6"/>
    </w:rPr>
  </w:style>
  <w:style w:type="character" w:customStyle="1" w:styleId="Heading8Char">
    <w:name w:val="Heading 8 Char"/>
    <w:basedOn w:val="Fuentedeprrafopredeter"/>
    <w:uiPriority w:val="9"/>
    <w:rPr>
      <w:rFonts w:ascii="Arial" w:eastAsia="Arial" w:hAnsi="Arial" w:cs="Arial"/>
      <w:i/>
      <w:iCs/>
      <w:color w:val="272727" w:themeColor="text1" w:themeTint="D8"/>
    </w:rPr>
  </w:style>
  <w:style w:type="character" w:customStyle="1" w:styleId="Heading9Char">
    <w:name w:val="Heading 9 Char"/>
    <w:basedOn w:val="Fuentedeprrafopredeter"/>
    <w:uiPriority w:val="9"/>
    <w:rPr>
      <w:rFonts w:ascii="Arial" w:eastAsia="Arial" w:hAnsi="Arial" w:cs="Arial"/>
      <w:i/>
      <w:iCs/>
      <w:color w:val="272727" w:themeColor="text1" w:themeTint="D8"/>
    </w:rPr>
  </w:style>
  <w:style w:type="character" w:customStyle="1" w:styleId="TitleChar">
    <w:name w:val="Title Char"/>
    <w:basedOn w:val="Fuentedeprrafopredeter"/>
    <w:uiPriority w:val="10"/>
    <w:rPr>
      <w:rFonts w:ascii="Arial" w:eastAsia="Arial" w:hAnsi="Arial" w:cs="Arial"/>
      <w:spacing w:val="-10"/>
      <w:sz w:val="56"/>
      <w:szCs w:val="56"/>
    </w:rPr>
  </w:style>
  <w:style w:type="character" w:customStyle="1" w:styleId="SubtitleChar">
    <w:name w:val="Subtitle Char"/>
    <w:basedOn w:val="Fuentedeprrafopredeter"/>
    <w:uiPriority w:val="11"/>
    <w:rPr>
      <w:color w:val="595959" w:themeColor="text1" w:themeTint="A6"/>
      <w:spacing w:val="15"/>
      <w:sz w:val="28"/>
      <w:szCs w:val="28"/>
    </w:rPr>
  </w:style>
  <w:style w:type="character" w:customStyle="1" w:styleId="QuoteChar">
    <w:name w:val="Quote Char"/>
    <w:basedOn w:val="Fuentedeprrafopredeter"/>
    <w:uiPriority w:val="29"/>
    <w:rPr>
      <w:i/>
      <w:iCs/>
      <w:color w:val="404040" w:themeColor="text1" w:themeTint="BF"/>
    </w:rPr>
  </w:style>
  <w:style w:type="character" w:customStyle="1" w:styleId="IntenseQuoteChar">
    <w:name w:val="Intense Quote Char"/>
    <w:basedOn w:val="Fuentedeprrafopredeter"/>
    <w:uiPriority w:val="30"/>
    <w:rPr>
      <w:i/>
      <w:iCs/>
      <w:color w:val="2F5496" w:themeColor="accent1" w:themeShade="BF"/>
    </w:rPr>
  </w:style>
  <w:style w:type="paragraph" w:styleId="Sinespaciado">
    <w:name w:val="No Spacing"/>
    <w:basedOn w:val="Normal"/>
    <w:uiPriority w:val="1"/>
    <w:qFormat/>
    <w:pPr>
      <w:spacing w:after="0" w:line="240" w:lineRule="auto"/>
    </w:pPr>
  </w:style>
  <w:style w:type="character" w:styleId="nfasissutil">
    <w:name w:val="Subtle Emphasis"/>
    <w:basedOn w:val="Fuentedeprrafopredeter"/>
    <w:uiPriority w:val="19"/>
    <w:qFormat/>
    <w:rPr>
      <w:i/>
      <w:iCs/>
      <w:color w:val="404040" w:themeColor="text1" w:themeTint="BF"/>
    </w:rPr>
  </w:style>
  <w:style w:type="character" w:styleId="Fuerte">
    <w:name w:val="Strong"/>
    <w:basedOn w:val="Fuentedeprrafopredeter"/>
    <w:uiPriority w:val="22"/>
    <w:qFormat/>
    <w:rPr>
      <w:b/>
      <w:bCs/>
    </w:rPr>
  </w:style>
  <w:style w:type="character" w:styleId="Referenciasutil">
    <w:name w:val="Subtle Reference"/>
    <w:basedOn w:val="Fuentedeprrafopredeter"/>
    <w:uiPriority w:val="31"/>
    <w:qFormat/>
    <w:rPr>
      <w:smallCaps/>
      <w:color w:val="5A5A5A" w:themeColor="text1" w:themeTint="A5"/>
    </w:rPr>
  </w:style>
  <w:style w:type="character" w:styleId="Ttulodellibro">
    <w:name w:val="Book Title"/>
    <w:basedOn w:val="Fuentedeprrafopredeter"/>
    <w:uiPriority w:val="33"/>
    <w:qFormat/>
    <w:rPr>
      <w:b/>
      <w:bCs/>
      <w:i/>
      <w:iCs/>
      <w:spacing w:val="5"/>
    </w:rPr>
  </w:style>
  <w:style w:type="paragraph" w:styleId="Encabezado">
    <w:name w:val="header"/>
    <w:basedOn w:val="Normal"/>
    <w:link w:val="EncabezadoCar"/>
    <w:uiPriority w:val="99"/>
    <w:unhideWhenUsed/>
    <w:pPr>
      <w:tabs>
        <w:tab w:val="center" w:pos="4844"/>
        <w:tab w:val="right" w:pos="9689"/>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844"/>
        <w:tab w:val="right" w:pos="9689"/>
      </w:tabs>
      <w:spacing w:after="0" w:line="240" w:lineRule="auto"/>
    </w:pPr>
  </w:style>
  <w:style w:type="character" w:customStyle="1" w:styleId="PiedepginaCar">
    <w:name w:val="Pie de página Car"/>
    <w:basedOn w:val="Fuentedeprrafopredeter"/>
    <w:link w:val="Piedepgina"/>
    <w:uiPriority w:val="99"/>
  </w:style>
  <w:style w:type="paragraph" w:styleId="Descripcin">
    <w:name w:val="caption"/>
    <w:basedOn w:val="Normal"/>
    <w:next w:val="Normal"/>
    <w:uiPriority w:val="35"/>
    <w:unhideWhenUsed/>
    <w:qFormat/>
    <w:pPr>
      <w:spacing w:after="200" w:line="240" w:lineRule="auto"/>
    </w:pPr>
    <w:rPr>
      <w:i/>
      <w:iCs/>
      <w:color w:val="44546A" w:themeColor="text2"/>
      <w:sz w:val="18"/>
      <w:szCs w:val="18"/>
    </w:rPr>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basedOn w:val="Fuentedeprrafopredeter"/>
    <w:link w:val="Textonotapie"/>
    <w:uiPriority w:val="99"/>
    <w:semiHidden/>
    <w:rPr>
      <w:sz w:val="20"/>
      <w:szCs w:val="20"/>
    </w:rPr>
  </w:style>
  <w:style w:type="character" w:styleId="Refdenotaalpie">
    <w:name w:val="footnote reference"/>
    <w:basedOn w:val="Fuentedeprrafopredeter"/>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character" w:styleId="Hipervnculovisitado">
    <w:name w:val="FollowedHyperlink"/>
    <w:basedOn w:val="Fuentedeprrafopredeter"/>
    <w:uiPriority w:val="99"/>
    <w:semiHidden/>
    <w:unhideWhenUsed/>
    <w:rPr>
      <w:color w:val="954F72" w:themeColor="followedHyperlink"/>
      <w:u w:val="single"/>
    </w:rPr>
  </w:style>
  <w:style w:type="paragraph" w:styleId="TDC1">
    <w:name w:val="toc 1"/>
    <w:basedOn w:val="Normal"/>
    <w:next w:val="Normal"/>
    <w:uiPriority w:val="39"/>
    <w:unhideWhenUsed/>
    <w:pPr>
      <w:spacing w:after="100"/>
    </w:pPr>
  </w:style>
  <w:style w:type="paragraph" w:styleId="TDC2">
    <w:name w:val="toc 2"/>
    <w:basedOn w:val="Normal"/>
    <w:next w:val="Normal"/>
    <w:uiPriority w:val="39"/>
    <w:unhideWhenUsed/>
    <w:pPr>
      <w:spacing w:after="100"/>
      <w:ind w:left="220"/>
    </w:pPr>
  </w:style>
  <w:style w:type="paragraph" w:styleId="TDC3">
    <w:name w:val="toc 3"/>
    <w:basedOn w:val="Normal"/>
    <w:next w:val="Normal"/>
    <w:uiPriority w:val="39"/>
    <w:unhideWhenUsed/>
    <w:pPr>
      <w:spacing w:after="100"/>
      <w:ind w:left="440"/>
    </w:pPr>
  </w:style>
  <w:style w:type="paragraph" w:styleId="TDC4">
    <w:name w:val="toc 4"/>
    <w:basedOn w:val="Normal"/>
    <w:next w:val="Normal"/>
    <w:uiPriority w:val="39"/>
    <w:unhideWhenUsed/>
    <w:pPr>
      <w:spacing w:after="100"/>
      <w:ind w:left="660"/>
    </w:pPr>
  </w:style>
  <w:style w:type="paragraph" w:styleId="TDC5">
    <w:name w:val="toc 5"/>
    <w:basedOn w:val="Normal"/>
    <w:next w:val="Normal"/>
    <w:uiPriority w:val="39"/>
    <w:unhideWhenUsed/>
    <w:pPr>
      <w:spacing w:after="100"/>
      <w:ind w:left="880"/>
    </w:pPr>
  </w:style>
  <w:style w:type="paragraph" w:styleId="TDC6">
    <w:name w:val="toc 6"/>
    <w:basedOn w:val="Normal"/>
    <w:next w:val="Normal"/>
    <w:uiPriority w:val="39"/>
    <w:unhideWhenUsed/>
    <w:pPr>
      <w:spacing w:after="100"/>
      <w:ind w:left="1100"/>
    </w:pPr>
  </w:style>
  <w:style w:type="paragraph" w:styleId="TDC7">
    <w:name w:val="toc 7"/>
    <w:basedOn w:val="Normal"/>
    <w:next w:val="Normal"/>
    <w:uiPriority w:val="39"/>
    <w:unhideWhenUsed/>
    <w:pPr>
      <w:spacing w:after="100"/>
      <w:ind w:left="1320"/>
    </w:pPr>
  </w:style>
  <w:style w:type="paragraph" w:styleId="TDC8">
    <w:name w:val="toc 8"/>
    <w:basedOn w:val="Normal"/>
    <w:next w:val="Normal"/>
    <w:uiPriority w:val="39"/>
    <w:unhideWhenUsed/>
    <w:pPr>
      <w:spacing w:after="100"/>
      <w:ind w:left="1540"/>
    </w:pPr>
  </w:style>
  <w:style w:type="paragraph" w:styleId="TDC9">
    <w:name w:val="toc 9"/>
    <w:basedOn w:val="Normal"/>
    <w:next w:val="Normal"/>
    <w:uiPriority w:val="39"/>
    <w:unhideWhenUsed/>
    <w:pPr>
      <w:spacing w:after="100"/>
      <w:ind w:left="1760"/>
    </w:pPr>
  </w:style>
  <w:style w:type="character" w:styleId="Textodelmarcadordeposicin">
    <w:name w:val="Placeholder Text"/>
    <w:basedOn w:val="Fuentedeprrafopredeter"/>
    <w:uiPriority w:val="99"/>
    <w:semiHidden/>
    <w:rPr>
      <w:color w:val="666666"/>
    </w:rPr>
  </w:style>
  <w:style w:type="paragraph" w:styleId="TtuloTDC">
    <w:name w:val="TOC Heading"/>
    <w:uiPriority w:val="39"/>
    <w:unhideWhenUsed/>
  </w:style>
  <w:style w:type="paragraph" w:styleId="Tabladeilustraciones">
    <w:name w:val="table of figures"/>
    <w:basedOn w:val="Normal"/>
    <w:next w:val="Normal"/>
    <w:uiPriority w:val="99"/>
    <w:unhideWhenUsed/>
    <w:pPr>
      <w:spacing w:after="0"/>
    </w:pPr>
  </w:style>
  <w:style w:type="character" w:customStyle="1" w:styleId="Ttulo1Car">
    <w:name w:val="Título 1 Car"/>
    <w:basedOn w:val="Fuentedeprrafopredeter"/>
    <w:link w:val="Ttulo1"/>
    <w:uiPriority w:val="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Pr>
      <w:rFonts w:eastAsiaTheme="majorEastAsia" w:cstheme="majorBidi"/>
      <w:color w:val="272727" w:themeColor="text1" w:themeTint="D8"/>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tuloCar">
    <w:name w:val="Título Car"/>
    <w:basedOn w:val="Fuentedeprrafopredeter"/>
    <w:link w:val="Ttulo"/>
    <w:uiPriority w:val="10"/>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rPr>
      <w:i/>
      <w:iCs/>
      <w:color w:val="404040" w:themeColor="text1" w:themeTint="BF"/>
    </w:rPr>
  </w:style>
  <w:style w:type="paragraph" w:styleId="Prrafodelista">
    <w:name w:val="List Paragraph"/>
    <w:basedOn w:val="Normal"/>
    <w:uiPriority w:val="34"/>
    <w:qFormat/>
    <w:pPr>
      <w:ind w:left="720"/>
      <w:contextualSpacing/>
    </w:pPr>
  </w:style>
  <w:style w:type="character" w:styleId="nfasisintenso">
    <w:name w:val="Intense Emphasis"/>
    <w:basedOn w:val="Fuentedeprrafopredeter"/>
    <w:uiPriority w:val="21"/>
    <w:qFormat/>
    <w:rPr>
      <w:i/>
      <w:iCs/>
      <w:color w:val="2F5496" w:themeColor="accent1" w:themeShade="BF"/>
    </w:rPr>
  </w:style>
  <w:style w:type="paragraph" w:styleId="Citadestacada">
    <w:name w:val="Intense Quote"/>
    <w:basedOn w:val="Normal"/>
    <w:next w:val="Normal"/>
    <w:link w:val="Citadestacada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Pr>
      <w:i/>
      <w:iCs/>
      <w:color w:val="2F5496" w:themeColor="accent1" w:themeShade="BF"/>
    </w:rPr>
  </w:style>
  <w:style w:type="character" w:styleId="Referenciaintensa">
    <w:name w:val="Intense Reference"/>
    <w:basedOn w:val="Fuentedeprrafopredeter"/>
    <w:uiPriority w:val="32"/>
    <w:qFormat/>
    <w:rPr>
      <w:b/>
      <w:bCs/>
      <w:smallCaps/>
      <w:color w:val="2F5496" w:themeColor="accent1" w:themeShade="BF"/>
      <w:spacing w:val="5"/>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rPr>
      <w:color w:val="0000FF"/>
      <w:u w:val="single"/>
    </w:rPr>
  </w:style>
  <w:style w:type="character" w:styleId="Mencinsinresolver">
    <w:name w:val="Unresolved Mention"/>
    <w:basedOn w:val="Fuentedeprrafopredeter"/>
    <w:uiPriority w:val="99"/>
    <w:semiHidden/>
    <w:unhideWhenUsed/>
    <w:rsid w:val="00333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acetaoficial.gob.cu/es/decreto-127-de-2025-de-consejo-de-ministros" TargetMode="External"/><Relationship Id="rId13" Type="http://schemas.openxmlformats.org/officeDocument/2006/relationships/hyperlink" Target="https://www.worldcc.com/knowledge-insights/knowledge-library-search.html" TargetMode="External"/><Relationship Id="rId3" Type="http://schemas.openxmlformats.org/officeDocument/2006/relationships/settings" Target="settings.xml"/><Relationship Id="rId7" Type="http://schemas.openxmlformats.org/officeDocument/2006/relationships/hyperlink" Target="https://www.gacetaoficial.gob.cu/es/decreto-ley-304-de-2012-de-consejo-de-estado" TargetMode="External"/><Relationship Id="rId12" Type="http://schemas.openxmlformats.org/officeDocument/2006/relationships/hyperlink" Target="https://calhoun.nps.edu/handle/10945/286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09/jm.11.046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37/0033-2909.125.2.221" TargetMode="External"/><Relationship Id="rId4" Type="http://schemas.openxmlformats.org/officeDocument/2006/relationships/webSettings" Target="webSettings.xml"/><Relationship Id="rId9" Type="http://schemas.openxmlformats.org/officeDocument/2006/relationships/hyperlink" Target="https://www.gacetaoficial.gob.cu/sites/default/files/goc-2026-o24_1.pdf"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3042</Words>
  <Characters>16734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Iraida ILS. Lopez Sanchez</dc:creator>
  <cp:keywords/>
  <dc:description/>
  <cp:lastModifiedBy>Iraida ILS. Lopez Sanchez</cp:lastModifiedBy>
  <cp:revision>2</cp:revision>
  <dcterms:created xsi:type="dcterms:W3CDTF">2026-10-06T15:43:00Z</dcterms:created>
  <dcterms:modified xsi:type="dcterms:W3CDTF">2026-10-06T15:43:00Z</dcterms:modified>
</cp:coreProperties>
</file>