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A5DC4304">
      <w:pPr>
        <w:pStyle w:val="style0"/>
        <w:spacing w:after="200" w:lineRule="auto" w:line="240"/>
        <w:jc w:val="center"/>
        <w:rPr/>
      </w:pPr>
      <w:r>
        <w:rPr>
          <w:rFonts w:ascii="Arial" w:cs="Arial" w:eastAsia="Arial" w:hAnsi="Arial"/>
          <w:b/>
          <w:bCs/>
          <w:i w:val="false"/>
          <w:iCs w:val="false"/>
          <w:sz w:val="24"/>
          <w:szCs w:val="24"/>
        </w:rPr>
        <w:t>Planificación estratégica de ASLEG Cienfuegos: proyección 2027-2030</w:t>
      </w:r>
    </w:p>
    <w:p w14:paraId="58AB34D2">
      <w:pPr>
        <w:pStyle w:val="style0"/>
        <w:spacing w:after="200" w:lineRule="auto" w:line="240"/>
        <w:jc w:val="center"/>
        <w:rPr/>
      </w:pPr>
      <w:r>
        <w:rPr>
          <w:rFonts w:ascii="Arial" w:cs="Arial" w:eastAsia="Arial" w:hAnsi="Arial"/>
          <w:b w:val="false"/>
          <w:bCs w:val="false"/>
          <w:i w:val="false"/>
          <w:iCs w:val="false"/>
          <w:sz w:val="24"/>
          <w:szCs w:val="24"/>
        </w:rPr>
        <w:t>Eje temático: Gestión empresarial y desarrollo local</w:t>
      </w:r>
    </w:p>
    <w:p w14:paraId="FB7FCF9F">
      <w:pPr>
        <w:pStyle w:val="style0"/>
        <w:spacing w:after="0" w:lineRule="auto" w:line="240"/>
        <w:jc w:val="center"/>
        <w:rPr/>
      </w:pPr>
      <w:r>
        <w:rPr>
          <w:rFonts w:ascii="Arial" w:cs="Arial" w:eastAsia="Arial" w:hAnsi="Arial"/>
          <w:sz w:val="24"/>
          <w:szCs w:val="24"/>
        </w:rPr>
        <w:t>Lic. Bárbara Luz Campos López</w:t>
      </w:r>
    </w:p>
    <w:p w14:paraId="8BA413EC">
      <w:pPr>
        <w:pStyle w:val="style0"/>
        <w:spacing w:after="0" w:lineRule="auto" w:line="240"/>
        <w:jc w:val="center"/>
        <w:rPr/>
      </w:pPr>
      <w:r>
        <w:rPr>
          <w:rFonts w:ascii="Arial" w:cs="Arial" w:eastAsia="Arial" w:hAnsi="Arial"/>
          <w:sz w:val="24"/>
          <w:szCs w:val="24"/>
        </w:rPr>
        <w:t>Empresa Provincial de Consultoría Jurídica Cienfuegos (ASLEG)</w:t>
      </w:r>
    </w:p>
    <w:p w14:paraId="94B42CC5">
      <w:pPr>
        <w:pStyle w:val="style0"/>
        <w:spacing w:after="0" w:lineRule="auto" w:line="240"/>
        <w:jc w:val="center"/>
        <w:rPr/>
      </w:pPr>
      <w:r>
        <w:rPr>
          <w:rFonts w:ascii="Arial" w:cs="Arial" w:eastAsia="Arial" w:hAnsi="Arial"/>
          <w:sz w:val="24"/>
          <w:szCs w:val="24"/>
        </w:rPr>
        <w:t>Teléfono: 50995707</w:t>
      </w:r>
    </w:p>
    <w:p w14:paraId="DD7B6273">
      <w:pPr>
        <w:pStyle w:val="style0"/>
        <w:spacing w:after="200" w:lineRule="auto" w:line="240"/>
        <w:jc w:val="center"/>
        <w:rPr/>
      </w:pPr>
      <w:r>
        <w:rPr>
          <w:rFonts w:ascii="Arial" w:cs="Arial" w:eastAsia="Arial" w:hAnsi="Arial"/>
          <w:sz w:val="24"/>
          <w:szCs w:val="24"/>
        </w:rPr>
        <w:t>Correo electrónico: barbaraluzcl01@gmail.com</w:t>
      </w:r>
    </w:p>
    <w:p w14:paraId="DC8C4479">
      <w:pPr>
        <w:pStyle w:val="style0"/>
        <w:spacing w:before="300" w:after="150"/>
        <w:rPr/>
      </w:pPr>
      <w:r>
        <w:rPr>
          <w:rFonts w:ascii="Arial" w:cs="Arial" w:eastAsia="Arial" w:hAnsi="Arial"/>
          <w:b/>
          <w:bCs/>
          <w:sz w:val="24"/>
          <w:szCs w:val="24"/>
        </w:rPr>
        <w:t>Resumen</w:t>
      </w:r>
    </w:p>
    <w:p w14:paraId="9A7ADE5C">
      <w:pPr>
        <w:pStyle w:val="style0"/>
        <w:spacing w:after="200" w:lineRule="auto" w:line="240"/>
        <w:jc w:val="both"/>
        <w:rPr/>
      </w:pPr>
      <w:r>
        <w:rPr>
          <w:rFonts w:ascii="Arial" w:cs="Arial" w:eastAsia="Arial" w:hAnsi="Arial"/>
          <w:b w:val="false"/>
          <w:bCs w:val="false"/>
          <w:i w:val="false"/>
          <w:iCs w:val="false"/>
          <w:sz w:val="24"/>
          <w:szCs w:val="24"/>
        </w:rPr>
        <w:t>El presente trabajo se desarrolla en la organización ASLEG Cienfuegos y tiene como objetivo proponer una planificación estratégica para el período 2027-2030, orientada a transformar su portafolio de servicios jurídicos tradicionales hacia un modelo de consultoría jurídico-empresarial integral. Para ello se emplean herramientas de dirección estratégica, cadena de suministros, marketing y gestión del capital humano, aplicadas al diagnóstico interno de la organización y al análisis de su entorno económico y normativo.</w:t>
      </w:r>
    </w:p>
    <w:p w14:paraId="22EDEAA1">
      <w:pPr>
        <w:pStyle w:val="style0"/>
        <w:spacing w:after="200" w:lineRule="auto" w:line="240"/>
        <w:jc w:val="both"/>
        <w:rPr/>
      </w:pPr>
      <w:r>
        <w:rPr>
          <w:rFonts w:ascii="Arial" w:cs="Arial" w:eastAsia="Arial" w:hAnsi="Arial"/>
          <w:b w:val="false"/>
          <w:bCs w:val="false"/>
          <w:i w:val="false"/>
          <w:iCs w:val="false"/>
          <w:sz w:val="24"/>
          <w:szCs w:val="24"/>
        </w:rPr>
        <w:t>Los resultados esperados se expresan en tres escenarios de crecimiento del ingreso mensual: negativo, intermedio y expansivo, siendo el intermedio el recomendado para la primera etapa, sustentado en la ampliación de la oferta de servicios y en el desarrollo del talento especializado.</w:t>
      </w:r>
    </w:p>
    <w:p w14:paraId="9B6C2BD0">
      <w:pPr>
        <w:pStyle w:val="style0"/>
        <w:spacing w:after="200" w:lineRule="auto" w:line="240"/>
        <w:jc w:val="both"/>
        <w:rPr/>
      </w:pPr>
      <w:r>
        <w:rPr>
          <w:rFonts w:ascii="Arial" w:cs="Arial" w:eastAsia="Arial" w:hAnsi="Arial"/>
          <w:b w:val="false"/>
          <w:bCs w:val="false"/>
          <w:i w:val="false"/>
          <w:iCs w:val="false"/>
          <w:sz w:val="24"/>
          <w:szCs w:val="24"/>
        </w:rPr>
        <w:t>Palabras clave: planificación estratégica, consultoría jurídico-empresarial.</w:t>
      </w:r>
    </w:p>
    <w:p w14:paraId="140C18CC">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 xml:space="preserve">Introducción </w:t>
      </w:r>
    </w:p>
    <w:p w14:paraId="AFAC7E3C">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ASLEG Cienfuegos constituye una organización de servicios jurídicos que ha consolidado una posición relevante en el asesoramiento legal a entidades estatales, presupuestadas, cooperativas y nuevos actores económicos del territorio. No obstante, su portafolio mantiene una estructura tradicional concentrada en la asesoría, la asistencia y la representación procesal, lo que limita el valor económico extraíble de cada relación profesional y restringe su capacidad de acompañar integralmente los procesos de desarrollo empresarial que demanda el entorno cubano.</w:t>
      </w:r>
    </w:p>
    <w:p w14:paraId="1E7392C8">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Esta concentración expone a la organización al riesgo de crecer en volumen de asuntos sin aumentar proporcionalmente el valor económico de cada relación profesional. El entorno regulatorio cubano de 2026 amplía el universo de sujetos económicos que requieren acompañamiento jurídico especializado (Decreto-Ley 133/2026; Decreto-Ley 128/2026), mientras que el mercado territorial de Cienfuegos presenta una base industrial y de servicios con demanda real y capacidad de pago para servicios jurídicos diferenciados.</w:t>
      </w:r>
    </w:p>
    <w:p w14:paraId="4A0E0A36">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 xml:space="preserve">Justificación. </w:t>
      </w:r>
    </w:p>
    <w:p w14:paraId="F7D66187">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La investigación se justifica por la necesidad de transformar un modelo de negocio que ha agotado su capacidad de generar valor, por la oportunidad del actual contexto normativo y territorial, y por el valor práctico de un instrumento de planificación que puede adoptarse de forma inmediata y replicarse en otras organizaciones cubanas de servicios profesionales.</w:t>
      </w:r>
    </w:p>
    <w:p w14:paraId="D7AAE976">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Objetivo general: proponer una planificación estratégica para ASLEG Cienfuegos en el período 2027-2030 que permita transformar su portafolio y anticipar escenarios de crecimiento diferenciados.</w:t>
      </w:r>
    </w:p>
    <w:p w14:paraId="1CCCD63E">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Objetivos específicos:</w:t>
      </w:r>
    </w:p>
    <w:p w14:paraId="BA5B7F2E">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 Fundamentar teóricamente los enfoques que sustentan la propuesta.</w:t>
      </w:r>
    </w:p>
    <w:p w14:paraId="042242BB">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 Diagnosticar la posición interna de ASLEG y las condiciones del mercado territorial.</w:t>
      </w:r>
    </w:p>
    <w:p w14:paraId="E5CFD0FB">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 Diseñar escenarios económicos diferenciados para 2027-2030.</w:t>
      </w:r>
    </w:p>
    <w:p w14:paraId="FC5E3D84">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 Proponer una nueva arquitectura de servicios y lineamientos de gestión del capital humano.</w:t>
      </w:r>
    </w:p>
    <w:p w14:paraId="4421D8BC">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 xml:space="preserve">Enfoque teórico </w:t>
      </w:r>
    </w:p>
    <w:p w14:paraId="54CA2EE2">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La dirección estratégica define el rumbo a largo plazo de la organización, estableciendo objetivos y asignando recursos para alcanzar una posición competitiva sostenible (Chandler, 1962). Porter (1985) aporta el concepto de ventaja competitiva, entendida como la capacidad de diferenciarse generando valor superior para el cliente. En ASLEG, esta ventaja depende del capital humano especializado y de la calidad de los procesos internos.</w:t>
      </w:r>
    </w:p>
    <w:p w14:paraId="4160CA4B">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La cadena de suministros, extendida a los servicios profesionales, comprende los procesos y flujos de información que permiten planificar, coordinar y controlar la prestación del servicio jurídico hasta su entrega al cliente. Una gestión eficiente reduce tiempos de respuesta y mejora la calidad, elementos centrales en la propuesta de un Departamento Jurídico Externo como servicio recurrente.</w:t>
      </w:r>
    </w:p>
    <w:p w14:paraId="7D11C5DD">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El marketing de servicios se distingue por la intangibilidad, heterogeneidad, inseparabilidad y caducidad. Kotler y Armstrong (2017) señalan que la estrategia debe centrarse en relaciones de confianza y en la comunicación efectiva del valor, aspectos determinantes para posicionar a ASLEG como socio de gestión permanente.</w:t>
      </w:r>
    </w:p>
    <w:p w14:paraId="64C2CB87">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La gestión del capital humano (Chiavenato, 2009) resulta crítica en ASLEG, donde 50 especialistas constituyen la principal fuente de valor agregado. La planificación estratégica del talento permite alinear competencias con la diversificación hacia nuevas líneas de negocio.</w:t>
      </w:r>
    </w:p>
    <w:p w14:paraId="8DA9F49C">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 xml:space="preserve">Metodología </w:t>
      </w:r>
    </w:p>
    <w:p w14:paraId="96975DA9">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El estudio es descriptivo-propositivo. Se emplearon datos internos de ASLEG (trabajadores, especialistas, estructura, cartera e ingreso mensual), análisis documental del entorno normativo y territorial de Cienfuegos, y construcción de escenarios aplicando variaciones de -5 %, +30 % y +50 % sobre el ingreso mensual base. Estos escenarios constituyen metas de gestión y no pronósticos macroeconómicos.</w:t>
      </w:r>
    </w:p>
    <w:p w14:paraId="80EBF09B">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Resultados</w:t>
      </w:r>
    </w:p>
    <w:p w14:paraId="4404C1ED">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Diagnóstico interno</w:t>
      </w:r>
    </w:p>
    <w:p w14:paraId="A9404F98">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ASLEG parte de una posición favorable: 89 trabajadores y 50 especialistas constituyen una masa crítica suficiente para la especialización, y la cartera superior a 300 clientes ofrece una base amplia para la segmentación y la venta cruzada. No obstante, el catálogo actual mantiene un ingreso medio por cliente reducido —inferior a 7 757 pesos, lo que constituye el principal problema estratégico: crecer en volumen de asuntos sin aumentar proporcionalmente el valor económico de cada relación profesional.</w:t>
      </w:r>
    </w:p>
    <w:p w14:paraId="E48CCA5D">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Entorno y segmentos prioritarios</w:t>
      </w:r>
    </w:p>
    <w:p w14:paraId="CB6330E1">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El mercado de Cienfuegos presenta una base industrial relevante (energía, cemento, petróleo, 19 renglones de exportación) y la plataforma EXPOSUR. Los segmentos prioritarios son las MIPYMES privadas consolidadas, las empresas estatales con necesidades complejas, los exportadores y las operaciones de inversión extranjera, todos con demanda y valor económico potencial altos.</w:t>
      </w:r>
    </w:p>
    <w:p w14:paraId="D1302949">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Nueva arquitectura de servicios</w:t>
      </w:r>
    </w:p>
    <w:p w14:paraId="1FCBCF6A">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Se propone evolucionar el portafolio hacia cinco líneas de negocio, definidas por el tipo de necesidad y el valor económico que generan, para transformar la relación con el cliente de una lógica reactiva hacia una lógica preventiva y recurrente.</w:t>
      </w:r>
    </w:p>
    <w:p w14:paraId="D9AA72F5">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El acompañamiento jurídico recurrente agrupa la asesoría permanente, el diagnóstico legal, el Expediente Legal, los manuales y reglamentos, la asesoría al máximo órgano de dirección y la verificación de dictámenes. Sostiene la iguala mensual.</w:t>
      </w:r>
    </w:p>
    <w:p w14:paraId="476417DE">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La gestión contractual y documental abarca la contratación económica, la revisión y elaboración de contratos, las actas de discrepancias, las reclamaciones comerciales, los trámites ante registros públicos y las certificaciones. Acompaña el ciclo completo de las relaciones económicas del cliente.</w:t>
      </w:r>
    </w:p>
    <w:p w14:paraId="405947FE">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La defensa y representación comprende la representación procesal ante instancias judiciales, administrativas y arbitrales, la presentación y contestación de escritos y el acompañamiento en procesos de solución de conflictos. Se factura por asunto por su alta complejidad y duración variable.</w:t>
      </w:r>
    </w:p>
    <w:p w14:paraId="96255327">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La prevención y control de riesgos abarca la auditoría jurídica, el compliance, el control interno y la verificación del cumplimiento legal. Se vende de forma complementaria mediante servicios opcionales y genera alto valor añadido al evitar litigios.</w:t>
      </w:r>
    </w:p>
    <w:p w14:paraId="E217889F">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La consultoría jurídico-empresarial especializada comprende la asesoría en procesos inversionistas, inversión extranjera, comercio exterior, gobierno corporativo, ordenamiento inmobiliario y negocios de alta complejidad. Es la línea de mayor valor económico y se factura íntegramente por asunto, según la Resolución 673/2021.</w:t>
      </w:r>
    </w:p>
    <w:p w14:paraId="AEE94A88">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Esta organización permite a ASLEG competir por valor generado y no por volumen de asuntos: las dos primeras líneas sostienen la recurrencia y la iguala; las tres restantes aportan ingresos variables, especialización y posicionamiento.</w:t>
      </w:r>
    </w:p>
    <w:p w14:paraId="5C5734DA">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Modelo comercial propuesto</w:t>
      </w:r>
    </w:p>
    <w:p w14:paraId="FE2225A5">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La propuesta de valor de ASLEG se organiza en tres componentes que sustituyen la lógica de paquetes cerrados por un esquema más flexible y sostenible.</w:t>
      </w:r>
    </w:p>
    <w:p w14:paraId="6F880A8A">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Primer componente: iguala de servicios básicos. Cubre los servicios básicos de asesoramiento jurídico establecidos en la Resolución 41/2018, correspondientes a las líneas de acompañamiento recurrente y parte de la gestión contractual y documental. Los precios mínimos se establecen según el tipo de cliente, con un piso general de 5 000 CUP mensuales y un mínimo de 12 000 CUP mensuales para las MIPYMES, en correspondencia con el techo legal de la Resolución 673/2021 y con la mayor complejidad, volumen y riesgo jurídico de este tipo de entidad.</w:t>
      </w:r>
    </w:p>
    <w:p w14:paraId="FD8CC9EF">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Segundo componente: facturación por asunto de los servicios de mayor complejidad. Corresponde a las líneas de defensa y representación y de consultoría jurídico-empresarial especializada. Se cobran por asunto, aplicando las tarifas de la Resolución 673/2021. El consultor designado queda facultado para determinar, en el momento de la prestación, si el asunto corresponde a los servicios básicos de la iguala o si, por su complejidad, debe facturarse por asunto, evaluando criterios como naturaleza y materia, cuantía económica, especialización requerida, tiempo estimado, riesgo legal e impacto en la actividad del cliente.</w:t>
      </w:r>
    </w:p>
    <w:p w14:paraId="19B8B85B">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Tercer componente: cartera de servicios complementarios opcionales. Corresponde a la línea de prevención y control de riesgos. Como valor añadido, ASLEG podrá ofrecer servicios que el cliente contrate de forma opcional, tales como asesoría intensiva en procesos disciplinarios y auditorías laborales, revisión y elaboración de contratos complejos, ordenamiento inmobiliario, programas anuales de capacitación jurídica, y revisión integral del cumplimiento legal con dictamen y plan de medidas. Se facturan por separado, sin complicar la iguala básica.</w:t>
      </w:r>
    </w:p>
    <w:p w14:paraId="A3B68EFD">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Esta arquitectura permite al cliente elegir entre la iguala mensual, para un acompañamiento permanente, y la contratación por asunto, para necesidades puntuales de mayor valor, sin exceder los topes tarifarios de la Resolución 673/2021. A diferencia de los paquetes cerrados, este modelo es más flexible, más aterrizable y menos propenso a conflictos por interpretación de qué está incluido y qué no.</w:t>
      </w:r>
    </w:p>
    <w:p w14:paraId="A89B7FEF">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Escenarios económicos 2027-2030</w:t>
      </w:r>
    </w:p>
    <w:p w14:paraId="558BCBC0">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Con el ingreso mensual informado de 2 327 000,0 como línea base, el escenario negativo (-5 %) sitúa el ingreso mensual en 2 210 650,0 y el anual en 26 527 800,0. El intermedio (+30 %) lo sitúa en 3 025 100,0 y 36 301 200,0. El expansivo (+50 %) lo sitúa en 3 490 500,0 y 41 886 000,0. Para 2027 se recomienda adoptar el escenario intermedio (+30 %) como meta de planificación, perseguida mediante mayor ingreso medio por cliente y crecimiento de servicios recurrentes y de alto valor, no mediante el incremento indiscriminado de expedientes.</w:t>
      </w:r>
    </w:p>
    <w:p w14:paraId="73C6D7D2">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Los resultados coinciden con Chandler (1962) y Porter (1985) en la necesidad de definir metas a largo plazo y construir ventajas competitivas sustentadas en un valor diferenciado. En ASLEG, esa ventaja descansa en el conocimiento especializado de su equipo y en la eficiencia de sus procesos internos, tal como señalan Kotler y Armstrong (2017) y Chiavenato (2009). La integración de los cuatro enfoques permite construir escenarios diferenciados que dotan a la organización de flexibilidad estratégica, sin perder de vista los riesgos identificados: cambios regulatorios rápidos, limitada capacidad de pago de algunos clientes, dependencia de servicios tradicionales y sobrecarga de especialistas.</w:t>
      </w:r>
    </w:p>
    <w:p w14:paraId="ECE954DA">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El principal aporte del trabajo radica en ofrecer a ASLEG un instrumento concreto de planificación —con escenarios cuantificados y una arquitectura de servicios definida— que puede adoptarse de forma inmediata, a diferencia de los diagnósticos generales que no llegan a una meta operativa. Su valor se extiende a otras organizaciones cubanas de servicios profesionales que enfrentan procesos similares de diversificación bajo el marco normativo de 2026.</w:t>
      </w:r>
    </w:p>
    <w:p w14:paraId="1D1AE4E6">
      <w:pPr>
        <w:pStyle w:val="style0"/>
        <w:spacing w:after="200" w:lineRule="auto" w:line="240"/>
        <w:jc w:val="both"/>
        <w:rPr>
          <w:rFonts w:ascii="Arial" w:cs="Arial" w:hAnsi="Arial"/>
          <w:b/>
          <w:bCs/>
          <w:sz w:val="24"/>
          <w:szCs w:val="24"/>
          <w:lang w:val="en-US"/>
        </w:rPr>
      </w:pPr>
      <w:r>
        <w:rPr>
          <w:rFonts w:ascii="Arial" w:cs="Arial" w:hAnsi="Arial"/>
          <w:b/>
          <w:bCs/>
          <w:sz w:val="24"/>
          <w:szCs w:val="24"/>
          <w:lang w:val="en-US"/>
        </w:rPr>
        <w:t xml:space="preserve">Conclusiones </w:t>
      </w:r>
    </w:p>
    <w:p w14:paraId="5AD02D3D">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 ASLEG Cienfuegos reúne condiciones favorables para diversificar su portafolio: dispone de 89 trabajadores, 50 especialistas, más de 300 clientes y una estructura capaz de soportar la especialización. La prioridad no es crear una organización nueva, sino transformar gradualmente su modelo de negocio.</w:t>
      </w:r>
    </w:p>
    <w:p w14:paraId="F8384ACF">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 La oportunidad territorial se concentra en la complejidad empresarial de Cienfuegos —industria, empresas estatales, nuevos actores económicos, exportación, turismo e inversión— reforzada por la evolución normativa cubana de 2026.</w:t>
      </w:r>
    </w:p>
    <w:p w14:paraId="429C5380">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 La reorganización del portafolio en cinco líneas de negocio permite a ASLEG competir por valor generado y no por volumen de asuntos, y facilita la asignación del talento especializado.</w:t>
      </w:r>
    </w:p>
    <w:p w14:paraId="6B99190E">
      <w:pPr>
        <w:pStyle w:val="style0"/>
        <w:spacing w:after="200" w:lineRule="auto" w:line="240"/>
        <w:jc w:val="both"/>
        <w:rPr>
          <w:rFonts w:ascii="Arial" w:cs="Arial" w:hAnsi="Arial"/>
          <w:b w:val="false"/>
          <w:bCs w:val="false"/>
          <w:sz w:val="24"/>
          <w:szCs w:val="24"/>
          <w:lang w:val="en-US"/>
        </w:rPr>
      </w:pPr>
      <w:r>
        <w:rPr>
          <w:rFonts w:ascii="Arial" w:cs="Arial" w:hAnsi="Arial"/>
          <w:b w:val="false"/>
          <w:bCs w:val="false"/>
          <w:sz w:val="24"/>
          <w:szCs w:val="24"/>
          <w:lang w:val="en-US"/>
        </w:rPr>
        <w:t>· La propuesta de valor basada en la iguala de servicios básicos, la facturación por asunto de los servicios complejos —cuya determinación corresponde al consultor designado— y la cartera de servicios complementarios opcionales constituye el vehículo concreto para alcanzar el escenario intermedio.</w:t>
      </w:r>
    </w:p>
    <w:p w14:paraId="326B5C5D">
      <w:pPr>
        <w:pStyle w:val="style0"/>
        <w:spacing w:after="200" w:lineRule="auto" w:line="240"/>
        <w:jc w:val="both"/>
        <w:rPr>
          <w:rFonts w:ascii="Arial" w:cs="Arial" w:hAnsi="Arial"/>
          <w:b w:val="false"/>
          <w:bCs w:val="false"/>
          <w:sz w:val="24"/>
          <w:szCs w:val="24"/>
          <w:lang w:val="en-US"/>
        </w:rPr>
      </w:pPr>
      <w:r>
        <w:rPr>
          <w:rFonts w:ascii="Arial" w:cs="Arial" w:hAnsi="Arial"/>
          <w:b/>
          <w:bCs/>
          <w:sz w:val="24"/>
          <w:szCs w:val="24"/>
          <w:lang w:val="en-US"/>
        </w:rPr>
        <w:t xml:space="preserve">Referencias bibliográficas </w:t>
      </w:r>
    </w:p>
    <w:p w14:paraId="0B363121">
      <w:pPr>
        <w:pStyle w:val="style0"/>
        <w:spacing w:after="200" w:lineRule="auto" w:line="240"/>
        <w:ind w:left="720" w:hanging="720"/>
        <w:jc w:val="both"/>
        <w:rPr/>
      </w:pPr>
      <w:r>
        <w:rPr>
          <w:rFonts w:ascii="Arial" w:cs="Arial" w:eastAsia="Arial" w:hAnsi="Arial"/>
          <w:sz w:val="24"/>
          <w:szCs w:val="24"/>
        </w:rPr>
        <w:t xml:space="preserve">Chandler, A. D. (1962). </w:t>
      </w:r>
      <w:r>
        <w:rPr>
          <w:rFonts w:ascii="Arial" w:cs="Arial" w:eastAsia="Arial" w:hAnsi="Arial"/>
          <w:i/>
          <w:iCs/>
          <w:sz w:val="24"/>
          <w:szCs w:val="24"/>
        </w:rPr>
        <w:t>Strategy and structure: Chapters in the history of the American industrial enterprise</w:t>
      </w:r>
      <w:r>
        <w:rPr>
          <w:rFonts w:ascii="Arial" w:cs="Arial" w:eastAsia="Arial" w:hAnsi="Arial"/>
          <w:sz w:val="24"/>
          <w:szCs w:val="24"/>
        </w:rPr>
        <w:t>. MIT Press.</w:t>
      </w:r>
    </w:p>
    <w:p w14:paraId="E64CD085">
      <w:pPr>
        <w:pStyle w:val="style0"/>
        <w:spacing w:after="200" w:lineRule="auto" w:line="240"/>
        <w:ind w:left="720" w:hanging="720"/>
        <w:jc w:val="both"/>
        <w:rPr/>
      </w:pPr>
      <w:r>
        <w:rPr>
          <w:rFonts w:ascii="Arial" w:cs="Arial" w:eastAsia="Arial" w:hAnsi="Arial"/>
          <w:sz w:val="24"/>
          <w:szCs w:val="24"/>
        </w:rPr>
        <w:t xml:space="preserve">Chiavenato, I. (2009). </w:t>
      </w:r>
      <w:r>
        <w:rPr>
          <w:rFonts w:ascii="Arial" w:cs="Arial" w:eastAsia="Arial" w:hAnsi="Arial"/>
          <w:i/>
          <w:iCs/>
          <w:sz w:val="24"/>
          <w:szCs w:val="24"/>
        </w:rPr>
        <w:t>Gestión del talento humano</w:t>
      </w:r>
      <w:r>
        <w:rPr>
          <w:rFonts w:ascii="Arial" w:cs="Arial" w:eastAsia="Arial" w:hAnsi="Arial"/>
          <w:sz w:val="24"/>
          <w:szCs w:val="24"/>
        </w:rPr>
        <w:t>. McGraw-Hill.</w:t>
      </w:r>
    </w:p>
    <w:p w14:paraId="B06EA65A">
      <w:pPr>
        <w:pStyle w:val="style0"/>
        <w:spacing w:after="200" w:lineRule="auto" w:line="240"/>
        <w:ind w:left="720" w:hanging="720"/>
        <w:jc w:val="both"/>
        <w:rPr/>
      </w:pPr>
      <w:r>
        <w:rPr>
          <w:rFonts w:ascii="Arial" w:cs="Arial" w:eastAsia="Arial" w:hAnsi="Arial"/>
          <w:sz w:val="24"/>
          <w:szCs w:val="24"/>
        </w:rPr>
        <w:t xml:space="preserve">Decreto-Ley 128/2026. Modificativo de la Ley 118 «Ley de la Inversión Extranjera», de 29 de marzo de 2014. (2026). </w:t>
      </w:r>
      <w:r>
        <w:rPr>
          <w:rFonts w:ascii="Arial" w:cs="Arial" w:eastAsia="Arial" w:hAnsi="Arial"/>
          <w:i/>
          <w:iCs/>
          <w:sz w:val="24"/>
          <w:szCs w:val="24"/>
        </w:rPr>
        <w:t>Gaceta Oficial de la República de Cuba</w:t>
      </w:r>
      <w:r>
        <w:rPr>
          <w:rFonts w:ascii="Arial" w:cs="Arial" w:eastAsia="Arial" w:hAnsi="Arial"/>
          <w:sz w:val="24"/>
          <w:szCs w:val="24"/>
        </w:rPr>
        <w:t>, No. 73 Ordinaria, 3 de septiembre de 2026.</w:t>
      </w:r>
    </w:p>
    <w:p w14:paraId="85A25BB2">
      <w:pPr>
        <w:pStyle w:val="style0"/>
        <w:spacing w:after="200" w:lineRule="auto" w:line="240"/>
        <w:ind w:left="720" w:hanging="720"/>
        <w:jc w:val="both"/>
        <w:rPr/>
      </w:pPr>
      <w:r>
        <w:rPr>
          <w:rFonts w:ascii="Arial" w:cs="Arial" w:eastAsia="Arial" w:hAnsi="Arial"/>
          <w:sz w:val="24"/>
          <w:szCs w:val="24"/>
        </w:rPr>
        <w:t xml:space="preserve">Decreto-Ley 133/2026. Modificativo de los decretos-leyes 88 «Sobre las micro, pequeñas y medianas empresas», 89 «De las cooperativas no agropecuarias» y 90 «Sobre el ejercicio del trabajo por cuenta propia». (2026). </w:t>
      </w:r>
      <w:r>
        <w:rPr>
          <w:rFonts w:ascii="Arial" w:cs="Arial" w:eastAsia="Arial" w:hAnsi="Arial"/>
          <w:i/>
          <w:iCs/>
          <w:sz w:val="24"/>
          <w:szCs w:val="24"/>
        </w:rPr>
        <w:t>Gaceta Oficial de la República de Cuba</w:t>
      </w:r>
      <w:r>
        <w:rPr>
          <w:rFonts w:ascii="Arial" w:cs="Arial" w:eastAsia="Arial" w:hAnsi="Arial"/>
          <w:sz w:val="24"/>
          <w:szCs w:val="24"/>
        </w:rPr>
        <w:t>, No. 71 Ordinaria, 2 de septiembre de 2026.</w:t>
      </w:r>
    </w:p>
    <w:p w14:paraId="51FE9DA4">
      <w:pPr>
        <w:pStyle w:val="style0"/>
        <w:spacing w:after="200" w:lineRule="auto" w:line="240"/>
        <w:ind w:left="720" w:hanging="720"/>
        <w:jc w:val="both"/>
        <w:rPr/>
      </w:pPr>
      <w:r>
        <w:rPr>
          <w:rFonts w:ascii="Arial" w:cs="Arial" w:eastAsia="Arial" w:hAnsi="Arial"/>
          <w:sz w:val="24"/>
          <w:szCs w:val="24"/>
        </w:rPr>
        <w:t xml:space="preserve">Kotler, P., &amp; Armstrong, G. (2017). </w:t>
      </w:r>
      <w:r>
        <w:rPr>
          <w:rFonts w:ascii="Arial" w:cs="Arial" w:eastAsia="Arial" w:hAnsi="Arial"/>
          <w:i/>
          <w:iCs/>
          <w:sz w:val="24"/>
          <w:szCs w:val="24"/>
        </w:rPr>
        <w:t>Fundamentos de marketing</w:t>
      </w:r>
      <w:r>
        <w:rPr>
          <w:rFonts w:ascii="Arial" w:cs="Arial" w:eastAsia="Arial" w:hAnsi="Arial"/>
          <w:sz w:val="24"/>
          <w:szCs w:val="24"/>
        </w:rPr>
        <w:t>. Pearson Educación.</w:t>
      </w:r>
    </w:p>
    <w:p w14:paraId="F1E484F6">
      <w:pPr>
        <w:pStyle w:val="style0"/>
        <w:spacing w:after="200" w:lineRule="auto" w:line="240"/>
        <w:ind w:left="720" w:hanging="720"/>
        <w:jc w:val="both"/>
        <w:rPr/>
      </w:pPr>
      <w:r>
        <w:rPr>
          <w:rFonts w:ascii="Arial" w:cs="Arial" w:eastAsia="Arial" w:hAnsi="Arial"/>
          <w:sz w:val="24"/>
          <w:szCs w:val="24"/>
        </w:rPr>
        <w:t xml:space="preserve">Porter, M. E. (1985). </w:t>
      </w:r>
      <w:r>
        <w:rPr>
          <w:rFonts w:ascii="Arial" w:cs="Arial" w:eastAsia="Arial" w:hAnsi="Arial"/>
          <w:i/>
          <w:iCs/>
          <w:sz w:val="24"/>
          <w:szCs w:val="24"/>
        </w:rPr>
        <w:t>Competitive advantage: Creating and sustaining superior performance</w:t>
      </w:r>
      <w:r>
        <w:rPr>
          <w:rFonts w:ascii="Arial" w:cs="Arial" w:eastAsia="Arial" w:hAnsi="Arial"/>
          <w:sz w:val="24"/>
          <w:szCs w:val="24"/>
        </w:rPr>
        <w:t>. Free Press.</w:t>
      </w:r>
    </w:p>
    <w:p w14:paraId="9DC618B8">
      <w:pPr>
        <w:pStyle w:val="style0"/>
        <w:spacing w:after="200" w:lineRule="auto" w:line="240"/>
        <w:ind w:left="720" w:hanging="720"/>
        <w:jc w:val="both"/>
        <w:rPr/>
      </w:pPr>
      <w:r>
        <w:rPr>
          <w:rFonts w:ascii="Arial" w:cs="Arial" w:eastAsia="Arial" w:hAnsi="Arial"/>
          <w:sz w:val="24"/>
          <w:szCs w:val="24"/>
        </w:rPr>
        <w:t xml:space="preserve">Resolución 41/2018. Reglamento para el ejercicio de la actividad de asesoramiento jurídico. (2018). </w:t>
      </w:r>
      <w:r>
        <w:rPr>
          <w:rFonts w:ascii="Arial" w:cs="Arial" w:eastAsia="Arial" w:hAnsi="Arial"/>
          <w:i/>
          <w:iCs/>
          <w:sz w:val="24"/>
          <w:szCs w:val="24"/>
        </w:rPr>
        <w:t>Gaceta Oficial de la República de Cuba</w:t>
      </w:r>
      <w:r>
        <w:rPr>
          <w:rFonts w:ascii="Arial" w:cs="Arial" w:eastAsia="Arial" w:hAnsi="Arial"/>
          <w:sz w:val="24"/>
          <w:szCs w:val="24"/>
        </w:rPr>
        <w:t>, Edición Extraordinaria No. 20, 5 de marzo de 2018.</w:t>
      </w:r>
    </w:p>
    <w:p w14:paraId="8E5281A7">
      <w:pPr>
        <w:pStyle w:val="style0"/>
        <w:spacing w:after="200" w:lineRule="auto" w:line="240"/>
        <w:ind w:left="720" w:hanging="720"/>
        <w:jc w:val="both"/>
        <w:rPr/>
      </w:pPr>
      <w:r>
        <w:rPr>
          <w:rFonts w:ascii="Arial" w:cs="Arial" w:eastAsia="Arial" w:hAnsi="Arial"/>
          <w:sz w:val="24"/>
          <w:szCs w:val="24"/>
        </w:rPr>
        <w:t xml:space="preserve">Resolución 673/2021. Tarifas máximas para los servicios jurídicos que prestan las entidades autorizadas a personas jurídicas y a personas naturales con actividad comercial. (2021). </w:t>
      </w:r>
      <w:r>
        <w:rPr>
          <w:rFonts w:ascii="Arial" w:cs="Arial" w:eastAsia="Arial" w:hAnsi="Arial"/>
          <w:i/>
          <w:iCs/>
          <w:sz w:val="24"/>
          <w:szCs w:val="24"/>
        </w:rPr>
        <w:t>Gaceta Oficial de la República de Cuba</w:t>
      </w:r>
      <w:r>
        <w:rPr>
          <w:rFonts w:ascii="Arial" w:cs="Arial" w:eastAsia="Arial" w:hAnsi="Arial"/>
          <w:sz w:val="24"/>
          <w:szCs w:val="24"/>
        </w:rPr>
        <w:t>, No. 110 Extraordinaria, 30 de diciembre de 2021.</w:t>
      </w:r>
    </w:p>
    <w:sectPr>
      <w:pgSz w:w="12240" w:h="15840" w:orient="portrait"/>
      <w:pgMar w:top="1417" w:right="1417" w:bottom="1417" w:left="1417"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0020204"/>
    <w:charset w:val="01"/>
    <w:family w:val="swiss"/>
    <w:pitch w:val="default"/>
    <w:sig w:usb0="00007A87" w:usb1="80000000" w:usb2="00000008"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0a5d1aa6-3109-4d13-a4a2-5d83220f4618"/>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32</TotalTime>
  <Words>2033</Words>
  <Characters>12279</Characters>
  <Application>WPS Office</Application>
  <Paragraphs>65</Paragraphs>
  <CharactersWithSpaces>14253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2026-09-24T15:19:16Z</dcterms:created>
  <dc:creator>Un-named</dc:creator>
  <lastModifiedBy>SM-A146U</lastModifiedBy>
  <dcterms:modified xsi:type="dcterms:W3CDTF">2026-10-01T00:55:12Z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5da94d630cdc4673b47270130edab07f</vt:lpwstr>
  </property>
</Properties>
</file>