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77123" w14:textId="415183EE" w:rsidR="00EE72C6" w:rsidRPr="00146C68" w:rsidRDefault="00EE72C6" w:rsidP="00501E13">
      <w:pPr>
        <w:spacing w:after="0" w:line="240" w:lineRule="auto"/>
        <w:jc w:val="both"/>
        <w:rPr>
          <w:rFonts w:ascii="Arial" w:hAnsi="Arial" w:cs="Arial"/>
          <w:b/>
          <w:bCs/>
        </w:rPr>
      </w:pPr>
      <w:r w:rsidRPr="00146C68">
        <w:rPr>
          <w:rFonts w:ascii="Arial" w:hAnsi="Arial" w:cs="Arial"/>
          <w:b/>
          <w:bCs/>
        </w:rPr>
        <w:t xml:space="preserve">IV Convención Científico Internacional </w:t>
      </w:r>
    </w:p>
    <w:p w14:paraId="62327436" w14:textId="77777777" w:rsidR="00EE72C6" w:rsidRDefault="00EE72C6" w:rsidP="00501E13">
      <w:pPr>
        <w:spacing w:after="0" w:line="240" w:lineRule="auto"/>
        <w:jc w:val="both"/>
        <w:rPr>
          <w:rFonts w:ascii="Arial" w:hAnsi="Arial" w:cs="Arial"/>
        </w:rPr>
      </w:pPr>
    </w:p>
    <w:p w14:paraId="376408AF" w14:textId="0BC55732" w:rsidR="00EE72C6" w:rsidRDefault="00EE72C6" w:rsidP="00501E13">
      <w:pPr>
        <w:spacing w:after="0" w:line="240" w:lineRule="auto"/>
        <w:jc w:val="both"/>
        <w:rPr>
          <w:rFonts w:ascii="Arial" w:hAnsi="Arial" w:cs="Arial"/>
        </w:rPr>
      </w:pPr>
      <w:r w:rsidRPr="00146C68">
        <w:rPr>
          <w:rFonts w:ascii="Arial" w:hAnsi="Arial" w:cs="Arial"/>
          <w:b/>
          <w:bCs/>
        </w:rPr>
        <w:t>Título:</w:t>
      </w:r>
      <w:r>
        <w:rPr>
          <w:rFonts w:ascii="Arial" w:hAnsi="Arial" w:cs="Arial"/>
        </w:rPr>
        <w:t xml:space="preserve"> </w:t>
      </w:r>
      <w:r w:rsidRPr="00EE72C6">
        <w:rPr>
          <w:rFonts w:ascii="Arial" w:hAnsi="Arial" w:cs="Arial"/>
        </w:rPr>
        <w:t xml:space="preserve"> </w:t>
      </w:r>
      <w:r w:rsidR="002A3852">
        <w:rPr>
          <w:rFonts w:ascii="Arial" w:hAnsi="Arial" w:cs="Arial"/>
        </w:rPr>
        <w:t>Gestión del turismo medico en Cienfuegos: un enfoque como producto comercializable.</w:t>
      </w:r>
    </w:p>
    <w:p w14:paraId="7824BD19" w14:textId="032D141E" w:rsidR="00EE72C6" w:rsidRDefault="00EE72C6" w:rsidP="00501E13">
      <w:pPr>
        <w:spacing w:after="0" w:line="240" w:lineRule="auto"/>
        <w:jc w:val="both"/>
        <w:rPr>
          <w:rFonts w:ascii="Arial" w:hAnsi="Arial" w:cs="Arial"/>
        </w:rPr>
      </w:pPr>
      <w:r w:rsidRPr="00146C68">
        <w:rPr>
          <w:rFonts w:ascii="Arial" w:hAnsi="Arial" w:cs="Arial"/>
          <w:b/>
          <w:bCs/>
        </w:rPr>
        <w:t>Eje Temático:</w:t>
      </w:r>
      <w:r>
        <w:rPr>
          <w:rFonts w:ascii="Arial" w:hAnsi="Arial" w:cs="Arial"/>
        </w:rPr>
        <w:t xml:space="preserve"> Gestión Empresarial, desarrollo local y sostenibilidad</w:t>
      </w:r>
    </w:p>
    <w:p w14:paraId="2EDDFED6" w14:textId="77777777" w:rsidR="00EE72C6" w:rsidRDefault="00EE72C6" w:rsidP="00501E13">
      <w:pPr>
        <w:spacing w:after="0" w:line="240" w:lineRule="auto"/>
        <w:jc w:val="both"/>
        <w:rPr>
          <w:rFonts w:ascii="Arial" w:hAnsi="Arial" w:cs="Arial"/>
        </w:rPr>
      </w:pPr>
    </w:p>
    <w:p w14:paraId="699EB9F1" w14:textId="77777777" w:rsidR="00146C68" w:rsidRPr="00146C68" w:rsidRDefault="00EE72C6" w:rsidP="00501E13">
      <w:pPr>
        <w:spacing w:after="0" w:line="240" w:lineRule="auto"/>
        <w:jc w:val="both"/>
        <w:rPr>
          <w:rFonts w:ascii="Arial" w:hAnsi="Arial" w:cs="Arial"/>
          <w:b/>
          <w:bCs/>
        </w:rPr>
      </w:pPr>
      <w:r w:rsidRPr="00146C68">
        <w:rPr>
          <w:rFonts w:ascii="Arial" w:hAnsi="Arial" w:cs="Arial"/>
          <w:b/>
          <w:bCs/>
        </w:rPr>
        <w:t xml:space="preserve">Autores: </w:t>
      </w:r>
    </w:p>
    <w:p w14:paraId="56F84082" w14:textId="623ADFDD" w:rsidR="00EE72C6" w:rsidRDefault="00EE72C6" w:rsidP="00501E13">
      <w:pPr>
        <w:spacing w:after="0" w:line="240" w:lineRule="auto"/>
        <w:jc w:val="both"/>
        <w:rPr>
          <w:rFonts w:ascii="Arial" w:hAnsi="Arial" w:cs="Arial"/>
        </w:rPr>
      </w:pPr>
      <w:r>
        <w:rPr>
          <w:rFonts w:ascii="Arial" w:hAnsi="Arial" w:cs="Arial"/>
        </w:rPr>
        <w:t xml:space="preserve">Lic. Mayli Pérez </w:t>
      </w:r>
      <w:proofErr w:type="spellStart"/>
      <w:r>
        <w:rPr>
          <w:rFonts w:ascii="Arial" w:hAnsi="Arial" w:cs="Arial"/>
        </w:rPr>
        <w:t>Pérez</w:t>
      </w:r>
      <w:proofErr w:type="spellEnd"/>
      <w:r w:rsidR="00146C68">
        <w:rPr>
          <w:rFonts w:ascii="Arial" w:hAnsi="Arial" w:cs="Arial"/>
        </w:rPr>
        <w:t xml:space="preserve">. UEB División Territorial de Comercialización de Combustibles de Cienfuegos. Tel. 53314708. Email: </w:t>
      </w:r>
      <w:hyperlink r:id="rId4" w:history="1">
        <w:r w:rsidR="00146C68" w:rsidRPr="003F2A76">
          <w:rPr>
            <w:rStyle w:val="Hipervnculo"/>
            <w:rFonts w:ascii="Arial" w:hAnsi="Arial" w:cs="Arial"/>
          </w:rPr>
          <w:t>maylipp87@gmail.com</w:t>
        </w:r>
      </w:hyperlink>
      <w:r w:rsidR="00146C68">
        <w:rPr>
          <w:rFonts w:ascii="Arial" w:hAnsi="Arial" w:cs="Arial"/>
        </w:rPr>
        <w:t xml:space="preserve"> </w:t>
      </w:r>
    </w:p>
    <w:p w14:paraId="321A90CF" w14:textId="488FE376" w:rsidR="00EE72C6" w:rsidRPr="00146C68" w:rsidRDefault="00EE72C6" w:rsidP="00501E13">
      <w:pPr>
        <w:spacing w:after="0" w:line="240" w:lineRule="auto"/>
        <w:jc w:val="both"/>
        <w:rPr>
          <w:rFonts w:ascii="Arial" w:hAnsi="Arial" w:cs="Arial"/>
        </w:rPr>
      </w:pPr>
      <w:r w:rsidRPr="00146C68">
        <w:rPr>
          <w:rFonts w:ascii="Arial" w:hAnsi="Arial" w:cs="Arial"/>
        </w:rPr>
        <w:t xml:space="preserve">Dr. C. Annie </w:t>
      </w:r>
      <w:r w:rsidR="00146C68" w:rsidRPr="00146C68">
        <w:rPr>
          <w:rFonts w:ascii="Arial" w:hAnsi="Arial" w:cs="Arial"/>
        </w:rPr>
        <w:t>Rivero</w:t>
      </w:r>
      <w:r w:rsidRPr="00146C68">
        <w:rPr>
          <w:rFonts w:ascii="Arial" w:hAnsi="Arial" w:cs="Arial"/>
        </w:rPr>
        <w:t xml:space="preserve"> </w:t>
      </w:r>
      <w:r w:rsidR="00146C68" w:rsidRPr="00146C68">
        <w:rPr>
          <w:rFonts w:ascii="Arial" w:hAnsi="Arial" w:cs="Arial"/>
        </w:rPr>
        <w:t>Galván</w:t>
      </w:r>
      <w:r w:rsidR="00146C68">
        <w:rPr>
          <w:rFonts w:ascii="Arial" w:hAnsi="Arial" w:cs="Arial"/>
        </w:rPr>
        <w:t xml:space="preserve">. CEDDLE. Universidad de Cienfuegos Carlos Rafael Rodríguez. Email: </w:t>
      </w:r>
      <w:hyperlink r:id="rId5" w:history="1">
        <w:r w:rsidR="00146C68" w:rsidRPr="003F2A76">
          <w:rPr>
            <w:rStyle w:val="Hipervnculo"/>
            <w:rFonts w:ascii="Arial" w:hAnsi="Arial" w:cs="Arial"/>
          </w:rPr>
          <w:t>agalvan@ucf.edu.cu</w:t>
        </w:r>
      </w:hyperlink>
      <w:r w:rsidR="00146C68">
        <w:rPr>
          <w:rFonts w:ascii="Arial" w:hAnsi="Arial" w:cs="Arial"/>
        </w:rPr>
        <w:t xml:space="preserve"> </w:t>
      </w:r>
      <w:r w:rsidRPr="00146C68">
        <w:rPr>
          <w:rFonts w:ascii="Arial" w:hAnsi="Arial" w:cs="Arial"/>
        </w:rPr>
        <w:t xml:space="preserve">  </w:t>
      </w:r>
    </w:p>
    <w:p w14:paraId="13ADEADB" w14:textId="77777777" w:rsidR="00EE72C6" w:rsidRPr="00146C68" w:rsidRDefault="00EE72C6" w:rsidP="00501E13">
      <w:pPr>
        <w:spacing w:after="0" w:line="240" w:lineRule="auto"/>
        <w:jc w:val="both"/>
        <w:rPr>
          <w:rFonts w:ascii="Arial" w:hAnsi="Arial" w:cs="Arial"/>
        </w:rPr>
      </w:pPr>
    </w:p>
    <w:p w14:paraId="12179FC4" w14:textId="503546BE" w:rsidR="00EE72C6" w:rsidRPr="00EE72C6" w:rsidRDefault="00EE72C6" w:rsidP="00501E13">
      <w:pPr>
        <w:spacing w:after="0" w:line="240" w:lineRule="auto"/>
        <w:jc w:val="both"/>
        <w:rPr>
          <w:rFonts w:ascii="Arial" w:hAnsi="Arial" w:cs="Arial"/>
        </w:rPr>
      </w:pPr>
      <w:r w:rsidRPr="00EE72C6">
        <w:rPr>
          <w:rFonts w:ascii="Arial" w:hAnsi="Arial" w:cs="Arial"/>
        </w:rPr>
        <w:t>Resumen</w:t>
      </w:r>
    </w:p>
    <w:p w14:paraId="79646832" w14:textId="77777777" w:rsidR="002A3852" w:rsidRPr="002A3852" w:rsidRDefault="002A3852" w:rsidP="00501E13">
      <w:pPr>
        <w:spacing w:after="0" w:line="240" w:lineRule="auto"/>
        <w:jc w:val="both"/>
        <w:rPr>
          <w:rFonts w:ascii="Arial" w:hAnsi="Arial" w:cs="Arial"/>
        </w:rPr>
      </w:pPr>
    </w:p>
    <w:p w14:paraId="1BFE34E9" w14:textId="77777777" w:rsidR="002A3852" w:rsidRPr="002A3852" w:rsidRDefault="002A3852" w:rsidP="00501E13">
      <w:pPr>
        <w:spacing w:after="0" w:line="240" w:lineRule="auto"/>
        <w:jc w:val="both"/>
        <w:rPr>
          <w:rFonts w:ascii="Arial" w:hAnsi="Arial" w:cs="Arial"/>
        </w:rPr>
      </w:pPr>
      <w:r w:rsidRPr="002A3852">
        <w:rPr>
          <w:rFonts w:ascii="Arial" w:hAnsi="Arial" w:cs="Arial"/>
        </w:rPr>
        <w:t>La cooperación internacional en salud ha generado capacidades instaladas en Cienfuegos, pero su conversión en productos turísticos comercializables sigue siendo un problema no resuelto desde la gestión empresarial. El presente trabajo analiza, con enfoque empresarial, las rutas de conversión de recursos sanitarios cooperados en productos de turismo médico comercializables en Cienfuegos, identificando los obstáculos organizativos, comerciales y financieros que limitan su consolidación como oferta vendible. Se adoptó un diseño cualitativo, descriptivo-explicativo, mediante revisión documental de literatura académica, informes institucionales y publicaciones de la Comercializadora de Servicios Médicos Cubanos entre 2019 y 2025, con análisis de contenido temático y triangulación de fuentes. Los resultados evidencian que Cienfuegos dispone de activos sanitarios y termales con potencial comercial, pero carece de estructuras de fijación de precios, estándares internacionales de servicio, canales de captación de clientes y mecanismos de reparto de ingresos. Se identificaron tres rutas de conversión: capacidades técnicas hacia exportación de servicios, activos termales hacia oferta de bienestar, y encadenamiento intersectorial hacia producto integrado. Los principales obstáculos son la fractura entre recurso disponible y producto vendible, el déficit de capacidades comerciales en la gestión local, la dependencia de inversión extranjera sin evaluación de viabilidad de mercado, y la competencia regional consolidada. Se concluye que la conversión exige anteponer el diseño comercial del producto a la inversión en infraestructura, incorporar habilidades de marketing y gestión de ingresos en la capacitación local, y priorizar la ruta de mayor coherencia comercial según la capacidad organizativa real disponible.</w:t>
      </w:r>
    </w:p>
    <w:p w14:paraId="0240941B" w14:textId="77777777" w:rsidR="002A3852" w:rsidRPr="002A3852" w:rsidRDefault="002A3852" w:rsidP="00501E13">
      <w:pPr>
        <w:spacing w:after="0" w:line="240" w:lineRule="auto"/>
        <w:jc w:val="both"/>
        <w:rPr>
          <w:rFonts w:ascii="Arial" w:hAnsi="Arial" w:cs="Arial"/>
        </w:rPr>
      </w:pPr>
    </w:p>
    <w:p w14:paraId="027E91E6" w14:textId="58C6BF1D" w:rsidR="002A3852" w:rsidRPr="002A3852" w:rsidRDefault="002A3852" w:rsidP="00501E13">
      <w:pPr>
        <w:spacing w:after="0" w:line="240" w:lineRule="auto"/>
        <w:jc w:val="both"/>
        <w:rPr>
          <w:rFonts w:ascii="Arial" w:hAnsi="Arial" w:cs="Arial"/>
        </w:rPr>
      </w:pPr>
      <w:r w:rsidRPr="002A3852">
        <w:rPr>
          <w:rFonts w:ascii="Arial" w:hAnsi="Arial" w:cs="Arial"/>
        </w:rPr>
        <w:t>Palabras clave: turismo médico; gestión empresarial; comercialización de servicios; producto turístico; Cienfuegos</w:t>
      </w:r>
    </w:p>
    <w:p w14:paraId="4CAFDFFA" w14:textId="77777777" w:rsidR="002A3852" w:rsidRPr="002A3852" w:rsidRDefault="002A3852" w:rsidP="00501E13">
      <w:pPr>
        <w:spacing w:after="0" w:line="240" w:lineRule="auto"/>
        <w:jc w:val="both"/>
        <w:rPr>
          <w:rFonts w:ascii="Arial" w:hAnsi="Arial" w:cs="Arial"/>
        </w:rPr>
      </w:pPr>
    </w:p>
    <w:p w14:paraId="123045DF" w14:textId="5B9EA987" w:rsidR="002A3852" w:rsidRPr="00501E13" w:rsidRDefault="002A3852" w:rsidP="00501E13">
      <w:pPr>
        <w:spacing w:after="0" w:line="240" w:lineRule="auto"/>
        <w:jc w:val="both"/>
        <w:rPr>
          <w:rFonts w:ascii="Arial" w:hAnsi="Arial" w:cs="Arial"/>
          <w:b/>
          <w:bCs/>
        </w:rPr>
      </w:pPr>
      <w:r w:rsidRPr="00501E13">
        <w:rPr>
          <w:rFonts w:ascii="Arial" w:hAnsi="Arial" w:cs="Arial"/>
          <w:b/>
          <w:bCs/>
        </w:rPr>
        <w:t>1. Introducción</w:t>
      </w:r>
    </w:p>
    <w:p w14:paraId="60F535DB" w14:textId="77777777" w:rsidR="002A3852" w:rsidRPr="002A3852" w:rsidRDefault="002A3852" w:rsidP="00501E13">
      <w:pPr>
        <w:spacing w:after="0" w:line="240" w:lineRule="auto"/>
        <w:jc w:val="both"/>
        <w:rPr>
          <w:rFonts w:ascii="Arial" w:hAnsi="Arial" w:cs="Arial"/>
        </w:rPr>
      </w:pPr>
    </w:p>
    <w:p w14:paraId="3A1FF517" w14:textId="77777777" w:rsidR="002A3852" w:rsidRPr="002A3852" w:rsidRDefault="002A3852" w:rsidP="00501E13">
      <w:pPr>
        <w:spacing w:after="0" w:line="240" w:lineRule="auto"/>
        <w:jc w:val="both"/>
        <w:rPr>
          <w:rFonts w:ascii="Arial" w:hAnsi="Arial" w:cs="Arial"/>
        </w:rPr>
      </w:pPr>
      <w:r w:rsidRPr="002A3852">
        <w:rPr>
          <w:rFonts w:ascii="Arial" w:hAnsi="Arial" w:cs="Arial"/>
        </w:rPr>
        <w:t xml:space="preserve">El turismo médico se ha consolidado como uno de los segmentos de mayor crecimiento dentro de la industria turística mundial. El mercado global se valoró en unos 38.200 millones de dólares en 2025 y se proyecta que alcance los 162.800 millones en 2032, con una tasa de crecimiento anual cercana al 23 % (Global Market </w:t>
      </w:r>
      <w:proofErr w:type="spellStart"/>
      <w:r w:rsidRPr="002A3852">
        <w:rPr>
          <w:rFonts w:ascii="Arial" w:hAnsi="Arial" w:cs="Arial"/>
        </w:rPr>
        <w:t>Insights</w:t>
      </w:r>
      <w:proofErr w:type="spellEnd"/>
      <w:r w:rsidRPr="002A3852">
        <w:rPr>
          <w:rFonts w:ascii="Arial" w:hAnsi="Arial" w:cs="Arial"/>
        </w:rPr>
        <w:t>, 2026). Los motores de esta expansión incluyen el envejecimiento poblacional en América del Norte, las listas de espera en los sistemas públicos de salud y los modelos de seguro con deducibles elevados que empujan a los pacientes a buscar servicios de mejor relación costo-calidad en el exterior.</w:t>
      </w:r>
    </w:p>
    <w:p w14:paraId="770A47B9" w14:textId="77777777" w:rsidR="002A3852" w:rsidRPr="002A3852" w:rsidRDefault="002A3852" w:rsidP="00501E13">
      <w:pPr>
        <w:spacing w:after="0" w:line="240" w:lineRule="auto"/>
        <w:jc w:val="both"/>
        <w:rPr>
          <w:rFonts w:ascii="Arial" w:hAnsi="Arial" w:cs="Arial"/>
        </w:rPr>
      </w:pPr>
    </w:p>
    <w:p w14:paraId="606E7246" w14:textId="77777777" w:rsidR="002A3852" w:rsidRPr="002A3852" w:rsidRDefault="002A3852" w:rsidP="00501E13">
      <w:pPr>
        <w:spacing w:after="0" w:line="240" w:lineRule="auto"/>
        <w:jc w:val="both"/>
        <w:rPr>
          <w:rFonts w:ascii="Arial" w:hAnsi="Arial" w:cs="Arial"/>
        </w:rPr>
      </w:pPr>
      <w:r w:rsidRPr="002A3852">
        <w:rPr>
          <w:rFonts w:ascii="Arial" w:hAnsi="Arial" w:cs="Arial"/>
        </w:rPr>
        <w:t>México recibe alrededor de 1,4 millones de pacientes internacionales al año y se posiciona como segundo destino mundial, con ahorros de entre el 40 % y el 70 % respecto a los precios estadounidenses (México Travel Channel, 2025). Esta referencia regional tiene valor directo para Cuba, cuyas capacidades reconocidas internacionalmente en oftalmología, neurorrehabilitación, pie diabético y vacunas terapéuticas se complementan con una proximidad geográfica privilegiada al mercado norteamericano.</w:t>
      </w:r>
    </w:p>
    <w:p w14:paraId="0822E131" w14:textId="77777777" w:rsidR="002A3852" w:rsidRPr="002A3852" w:rsidRDefault="002A3852" w:rsidP="00501E13">
      <w:pPr>
        <w:spacing w:after="0" w:line="240" w:lineRule="auto"/>
        <w:jc w:val="both"/>
        <w:rPr>
          <w:rFonts w:ascii="Arial" w:hAnsi="Arial" w:cs="Arial"/>
        </w:rPr>
      </w:pPr>
    </w:p>
    <w:p w14:paraId="3D25CEA5" w14:textId="70DA92C1" w:rsidR="002A3852" w:rsidRPr="002A3852" w:rsidRDefault="002A3852" w:rsidP="00501E13">
      <w:pPr>
        <w:spacing w:after="0" w:line="240" w:lineRule="auto"/>
        <w:jc w:val="both"/>
        <w:rPr>
          <w:rFonts w:ascii="Arial" w:hAnsi="Arial" w:cs="Arial"/>
        </w:rPr>
      </w:pPr>
      <w:r w:rsidRPr="002A3852">
        <w:rPr>
          <w:rFonts w:ascii="Arial" w:hAnsi="Arial" w:cs="Arial"/>
        </w:rPr>
        <w:t xml:space="preserve">El turismo médico cubano no constituye una novedad. La estrategia de comercialización conjunta entre la Comercializadora de Servicios Médicos Cubanos (CSMC) y el Ministerio de Turismo ya había definido líneas de inversión en centros termales de salud, programas de rehabilitación posquirúrgica y tratamientos especializados. Productos como la vacuna </w:t>
      </w:r>
      <w:proofErr w:type="spellStart"/>
      <w:r w:rsidRPr="002A3852">
        <w:rPr>
          <w:rFonts w:ascii="Arial" w:hAnsi="Arial" w:cs="Arial"/>
        </w:rPr>
        <w:t>CIMAvax</w:t>
      </w:r>
      <w:proofErr w:type="spellEnd"/>
      <w:r w:rsidRPr="002A3852">
        <w:rPr>
          <w:rFonts w:ascii="Arial" w:hAnsi="Arial" w:cs="Arial"/>
        </w:rPr>
        <w:t xml:space="preserve">, el </w:t>
      </w:r>
      <w:proofErr w:type="spellStart"/>
      <w:r w:rsidRPr="002A3852">
        <w:rPr>
          <w:rFonts w:ascii="Arial" w:hAnsi="Arial" w:cs="Arial"/>
        </w:rPr>
        <w:t>Heberprot</w:t>
      </w:r>
      <w:proofErr w:type="spellEnd"/>
      <w:r w:rsidRPr="002A3852">
        <w:rPr>
          <w:rFonts w:ascii="Arial" w:hAnsi="Arial" w:cs="Arial"/>
        </w:rPr>
        <w:t xml:space="preserve">-P y el programa integral para la retinosis pigmentaria constituyen el núcleo diferenciador de la oferta cubana (Servicios Médicos Cubanos, 2025). </w:t>
      </w:r>
    </w:p>
    <w:p w14:paraId="6E757278" w14:textId="77777777" w:rsidR="002A3852" w:rsidRPr="002A3852" w:rsidRDefault="002A3852" w:rsidP="00501E13">
      <w:pPr>
        <w:spacing w:after="0" w:line="240" w:lineRule="auto"/>
        <w:jc w:val="both"/>
        <w:rPr>
          <w:rFonts w:ascii="Arial" w:hAnsi="Arial" w:cs="Arial"/>
        </w:rPr>
      </w:pPr>
    </w:p>
    <w:p w14:paraId="2AB56054" w14:textId="77777777" w:rsidR="002A3852" w:rsidRPr="002A3852" w:rsidRDefault="002A3852" w:rsidP="00501E13">
      <w:pPr>
        <w:spacing w:after="0" w:line="240" w:lineRule="auto"/>
        <w:jc w:val="both"/>
        <w:rPr>
          <w:rFonts w:ascii="Arial" w:hAnsi="Arial" w:cs="Arial"/>
        </w:rPr>
      </w:pPr>
      <w:r w:rsidRPr="002A3852">
        <w:rPr>
          <w:rFonts w:ascii="Arial" w:hAnsi="Arial" w:cs="Arial"/>
        </w:rPr>
        <w:t xml:space="preserve">Cienfuegos ofrece un escenario privilegiado para examinar estas tensiones desde la gestión empresarial. La tradición de cooperación franco-cubana ha dejado un legado institucional verificable en el ámbito sanitario, con nodos potenciales de recursos turístico-sanitarios: el Hospital Gustavo Aldereguía Lima, el Centro Médico Termal Ciego Montero y el Centro de Bienestar </w:t>
      </w:r>
      <w:proofErr w:type="spellStart"/>
      <w:r w:rsidRPr="002A3852">
        <w:rPr>
          <w:rFonts w:ascii="Arial" w:hAnsi="Arial" w:cs="Arial"/>
        </w:rPr>
        <w:t>Yaguanabo</w:t>
      </w:r>
      <w:proofErr w:type="spellEnd"/>
      <w:r w:rsidRPr="002A3852">
        <w:rPr>
          <w:rFonts w:ascii="Arial" w:hAnsi="Arial" w:cs="Arial"/>
        </w:rPr>
        <w:t xml:space="preserve"> (Ministerio de Comercio Exterior y la Inversión Extranjera, 2021). A ello se suma una ventaja institucional poco frecuente: el proyecto de Agenda Local de Innovación, financiado por la Unión Europea, posicionó a Cienfuegos como provincia piloto de desarrollo local impulsado por la innovación. Rey Novoa et al. (2025) propusieron un modelo de gobernanza territorial que enfatiza la "</w:t>
      </w:r>
      <w:proofErr w:type="spellStart"/>
      <w:r w:rsidRPr="002A3852">
        <w:rPr>
          <w:rFonts w:ascii="Arial" w:hAnsi="Arial" w:cs="Arial"/>
        </w:rPr>
        <w:t>intergubernamentalidad</w:t>
      </w:r>
      <w:proofErr w:type="spellEnd"/>
      <w:r w:rsidRPr="002A3852">
        <w:rPr>
          <w:rFonts w:ascii="Arial" w:hAnsi="Arial" w:cs="Arial"/>
        </w:rPr>
        <w:t>" como condición para fortalecer la productividad local. Estos activos institucionales constituyen la base organizativa para analizar la conversión de la cooperación en producto comercializable.</w:t>
      </w:r>
    </w:p>
    <w:p w14:paraId="0B3D3E60" w14:textId="77777777" w:rsidR="002A3852" w:rsidRPr="002A3852" w:rsidRDefault="002A3852" w:rsidP="00501E13">
      <w:pPr>
        <w:spacing w:after="0" w:line="240" w:lineRule="auto"/>
        <w:jc w:val="both"/>
        <w:rPr>
          <w:rFonts w:ascii="Arial" w:hAnsi="Arial" w:cs="Arial"/>
        </w:rPr>
      </w:pPr>
    </w:p>
    <w:p w14:paraId="478EA3C5" w14:textId="77777777" w:rsidR="002A3852" w:rsidRPr="002A3852" w:rsidRDefault="002A3852" w:rsidP="00501E13">
      <w:pPr>
        <w:spacing w:after="0" w:line="240" w:lineRule="auto"/>
        <w:jc w:val="both"/>
        <w:rPr>
          <w:rFonts w:ascii="Arial" w:hAnsi="Arial" w:cs="Arial"/>
        </w:rPr>
      </w:pPr>
      <w:r w:rsidRPr="002A3852">
        <w:rPr>
          <w:rFonts w:ascii="Arial" w:hAnsi="Arial" w:cs="Arial"/>
        </w:rPr>
        <w:t xml:space="preserve">No obstante, la literatura existente se concentra en el nivel de la planificación estratégica o en el análisis de políticas sectoriales, y carece de una mirada desde la gestión empresarial que desagregue los mecanismos </w:t>
      </w:r>
      <w:proofErr w:type="spellStart"/>
      <w:r w:rsidRPr="002A3852">
        <w:rPr>
          <w:rFonts w:ascii="Arial" w:hAnsi="Arial" w:cs="Arial"/>
        </w:rPr>
        <w:t>microorganizativos</w:t>
      </w:r>
      <w:proofErr w:type="spellEnd"/>
      <w:r w:rsidRPr="002A3852">
        <w:rPr>
          <w:rFonts w:ascii="Arial" w:hAnsi="Arial" w:cs="Arial"/>
        </w:rPr>
        <w:t xml:space="preserve"> de las rutas de conversión comercial. ¿Cómo se transforman concretamente los recursos de cooperación en productos turísticos comercializables? ¿Dónde se ubican los obstáculos organizativos y comerciales de esa transformación? Estas son las preguntas centrales del presente trabajo.</w:t>
      </w:r>
    </w:p>
    <w:p w14:paraId="462D8D90" w14:textId="77777777" w:rsidR="002A3852" w:rsidRPr="002A3852" w:rsidRDefault="002A3852" w:rsidP="00501E13">
      <w:pPr>
        <w:spacing w:after="0" w:line="240" w:lineRule="auto"/>
        <w:jc w:val="both"/>
        <w:rPr>
          <w:rFonts w:ascii="Arial" w:hAnsi="Arial" w:cs="Arial"/>
        </w:rPr>
      </w:pPr>
    </w:p>
    <w:p w14:paraId="5C9CB4B6" w14:textId="0C3CF9D7" w:rsidR="002A3852" w:rsidRPr="00501E13" w:rsidRDefault="002A3852" w:rsidP="00501E13">
      <w:pPr>
        <w:spacing w:after="0" w:line="240" w:lineRule="auto"/>
        <w:jc w:val="both"/>
        <w:rPr>
          <w:rFonts w:ascii="Arial" w:hAnsi="Arial" w:cs="Arial"/>
          <w:b/>
          <w:bCs/>
        </w:rPr>
      </w:pPr>
      <w:r w:rsidRPr="00501E13">
        <w:rPr>
          <w:rFonts w:ascii="Arial" w:hAnsi="Arial" w:cs="Arial"/>
          <w:b/>
          <w:bCs/>
        </w:rPr>
        <w:t>2. Marco teórico: de la capacidad instalada al producto comercializable</w:t>
      </w:r>
    </w:p>
    <w:p w14:paraId="02CD9D70" w14:textId="77777777" w:rsidR="002A3852" w:rsidRPr="002A3852" w:rsidRDefault="002A3852" w:rsidP="00501E13">
      <w:pPr>
        <w:spacing w:after="0" w:line="240" w:lineRule="auto"/>
        <w:jc w:val="both"/>
        <w:rPr>
          <w:rFonts w:ascii="Arial" w:hAnsi="Arial" w:cs="Arial"/>
        </w:rPr>
      </w:pPr>
    </w:p>
    <w:p w14:paraId="251D73B5" w14:textId="77777777" w:rsidR="002A3852" w:rsidRPr="002A3852" w:rsidRDefault="002A3852" w:rsidP="00501E13">
      <w:pPr>
        <w:spacing w:after="0" w:line="240" w:lineRule="auto"/>
        <w:jc w:val="both"/>
        <w:rPr>
          <w:rFonts w:ascii="Arial" w:hAnsi="Arial" w:cs="Arial"/>
        </w:rPr>
      </w:pPr>
      <w:r w:rsidRPr="002A3852">
        <w:rPr>
          <w:rFonts w:ascii="Arial" w:hAnsi="Arial" w:cs="Arial"/>
        </w:rPr>
        <w:t>La cooperación internacional para el desarrollo opera normalmente por ciclos de proyecto y sus productos se entienden como "fortalecimiento de capacidades" o "consolidación institucional". Sin embargo, convertir los resultados de la cooperación —infraestructura sanitaria y recursos humanos— en productos turísticos exige atravesar una frontera organizativa decisiva: el paso de la lógica del servicio público a la lógica de la operación comercial. Ese tránsito implica una reconfiguración profunda de los mecanismos de fijación de precios, estándares de calidad, capacidades de marketing, gestión de relaciones con el cliente y reglas de distribución de ingresos.</w:t>
      </w:r>
    </w:p>
    <w:p w14:paraId="75ECAC10" w14:textId="77777777" w:rsidR="002A3852" w:rsidRPr="002A3852" w:rsidRDefault="002A3852" w:rsidP="00501E13">
      <w:pPr>
        <w:spacing w:after="0" w:line="240" w:lineRule="auto"/>
        <w:jc w:val="both"/>
        <w:rPr>
          <w:rFonts w:ascii="Arial" w:hAnsi="Arial" w:cs="Arial"/>
        </w:rPr>
      </w:pPr>
    </w:p>
    <w:p w14:paraId="1391D355" w14:textId="77777777" w:rsidR="002A3852" w:rsidRPr="002A3852" w:rsidRDefault="002A3852" w:rsidP="00501E13">
      <w:pPr>
        <w:spacing w:after="0" w:line="240" w:lineRule="auto"/>
        <w:jc w:val="both"/>
        <w:rPr>
          <w:rFonts w:ascii="Arial" w:hAnsi="Arial" w:cs="Arial"/>
        </w:rPr>
      </w:pPr>
      <w:r w:rsidRPr="002A3852">
        <w:rPr>
          <w:rFonts w:ascii="Arial" w:hAnsi="Arial" w:cs="Arial"/>
        </w:rPr>
        <w:lastRenderedPageBreak/>
        <w:t>Este trabajo adopta el concepto de "rutas de conversión comercial" como categoría analítica central, para designar los canales organizativos concretos que conducen de los recursos de cooperación al producto turístico vendible. A diferencia de la noción abstracta de "cadena de valor", la idea de ruta enfatiza la temporalidad, la secuencialidad y el arraigo institucional: cada paso de la transformación depende del producto institucional del paso anterior y está condicionado por las relaciones de poder en un campo organizativo determinado.</w:t>
      </w:r>
    </w:p>
    <w:p w14:paraId="5C651E8C" w14:textId="77777777" w:rsidR="002A3852" w:rsidRPr="002A3852" w:rsidRDefault="002A3852" w:rsidP="00501E13">
      <w:pPr>
        <w:spacing w:after="0" w:line="240" w:lineRule="auto"/>
        <w:jc w:val="both"/>
        <w:rPr>
          <w:rFonts w:ascii="Arial" w:hAnsi="Arial" w:cs="Arial"/>
        </w:rPr>
      </w:pPr>
    </w:p>
    <w:p w14:paraId="2E51C351" w14:textId="1C360C48" w:rsidR="002A3852" w:rsidRPr="002A3852" w:rsidRDefault="002A3852" w:rsidP="00501E13">
      <w:pPr>
        <w:spacing w:after="0" w:line="240" w:lineRule="auto"/>
        <w:jc w:val="both"/>
        <w:rPr>
          <w:rFonts w:ascii="Arial" w:hAnsi="Arial" w:cs="Arial"/>
        </w:rPr>
      </w:pPr>
      <w:r w:rsidRPr="002A3852">
        <w:rPr>
          <w:rFonts w:ascii="Arial" w:hAnsi="Arial" w:cs="Arial"/>
        </w:rPr>
        <w:t xml:space="preserve">El producto de turismo médico no es el resultado de una empresa aislada, sino de un ecosistema de negocio integrado por instituciones sanitarias, operadores turísticos, infraestructura hotelera, servicios de transporte, organismos reguladores y agentes pagadores. La particularidad de Cienfuegos radica en que el proyecto europeo de agenda de innovación ya estableció, en cierta medida, mecanismos de diálogo intersectorial y plataformas de intercambio de conocimiento. </w:t>
      </w:r>
    </w:p>
    <w:p w14:paraId="11BEC7D4" w14:textId="77777777" w:rsidR="002A3852" w:rsidRPr="002A3852" w:rsidRDefault="002A3852" w:rsidP="00501E13">
      <w:pPr>
        <w:spacing w:after="0" w:line="240" w:lineRule="auto"/>
        <w:jc w:val="both"/>
        <w:rPr>
          <w:rFonts w:ascii="Arial" w:hAnsi="Arial" w:cs="Arial"/>
        </w:rPr>
      </w:pPr>
    </w:p>
    <w:p w14:paraId="5F04DBD7" w14:textId="7183E224" w:rsidR="002A3852" w:rsidRPr="002A3852" w:rsidRDefault="002A3852" w:rsidP="00501E13">
      <w:pPr>
        <w:spacing w:after="0" w:line="240" w:lineRule="auto"/>
        <w:jc w:val="both"/>
        <w:rPr>
          <w:rFonts w:ascii="Arial" w:hAnsi="Arial" w:cs="Arial"/>
        </w:rPr>
      </w:pPr>
      <w:r w:rsidRPr="002A3852">
        <w:rPr>
          <w:rFonts w:ascii="Arial" w:hAnsi="Arial" w:cs="Arial"/>
        </w:rPr>
        <w:t>Los obstáculos a la integración del producto no suelen residir en la falta de recursos, sino en fallas de coordinación entre distintos niveles de gobierno y entre el sector público y el empresarial. El proceso de descentralización cubano de 2025 añade nuevas variables: el Decreto 138/2025 otorga mayor autonomía al sistema empresarial estatal en materia de organización salarial, y el propio proceso se define como "gradual, flexible y heterogéneo según el territorio" (Gaceta Oficial de la República de Cuba, 2025). Estos cambios abren un espacio potencial para el diseño de incentivos y la asignación de recursos en el ámbito local, aunque sus efectos reales sobre la capacidad comercial están aún por verificarse.</w:t>
      </w:r>
    </w:p>
    <w:p w14:paraId="5872C06A" w14:textId="77777777" w:rsidR="002A3852" w:rsidRPr="002A3852" w:rsidRDefault="002A3852" w:rsidP="00501E13">
      <w:pPr>
        <w:spacing w:after="0" w:line="240" w:lineRule="auto"/>
        <w:jc w:val="both"/>
        <w:rPr>
          <w:rFonts w:ascii="Arial" w:hAnsi="Arial" w:cs="Arial"/>
        </w:rPr>
      </w:pPr>
    </w:p>
    <w:p w14:paraId="454C7F45" w14:textId="658D014B" w:rsidR="002A3852" w:rsidRPr="002A3852" w:rsidRDefault="002A3852" w:rsidP="00501E13">
      <w:pPr>
        <w:spacing w:after="0" w:line="240" w:lineRule="auto"/>
        <w:jc w:val="both"/>
        <w:rPr>
          <w:rFonts w:ascii="Arial" w:hAnsi="Arial" w:cs="Arial"/>
        </w:rPr>
      </w:pPr>
      <w:r w:rsidRPr="002A3852">
        <w:rPr>
          <w:rFonts w:ascii="Arial" w:hAnsi="Arial" w:cs="Arial"/>
        </w:rPr>
        <w:t>3. Métodos</w:t>
      </w:r>
    </w:p>
    <w:p w14:paraId="22BB4EF6" w14:textId="77777777" w:rsidR="002A3852" w:rsidRPr="002A3852" w:rsidRDefault="002A3852" w:rsidP="00501E13">
      <w:pPr>
        <w:spacing w:after="0" w:line="240" w:lineRule="auto"/>
        <w:jc w:val="both"/>
        <w:rPr>
          <w:rFonts w:ascii="Arial" w:hAnsi="Arial" w:cs="Arial"/>
        </w:rPr>
      </w:pPr>
    </w:p>
    <w:p w14:paraId="06D1057E" w14:textId="77777777" w:rsidR="002A3852" w:rsidRPr="002A3852" w:rsidRDefault="002A3852" w:rsidP="00501E13">
      <w:pPr>
        <w:spacing w:after="0" w:line="240" w:lineRule="auto"/>
        <w:jc w:val="both"/>
        <w:rPr>
          <w:rFonts w:ascii="Arial" w:hAnsi="Arial" w:cs="Arial"/>
        </w:rPr>
      </w:pPr>
      <w:r w:rsidRPr="002A3852">
        <w:rPr>
          <w:rFonts w:ascii="Arial" w:hAnsi="Arial" w:cs="Arial"/>
        </w:rPr>
        <w:t>La investigación adoptó un diseño cualitativo, descriptivo-explicativo. Las fuentes incluyeron: (1) literatura académica y análisis de políticas sobre turismo médico cubano publicados entre 2019 y 2025; (2) publicaciones oficiales y catálogos de oportunidades de inversión de la CSMC; (3) documentos sobre la cooperación franco-cubana en salud; (4) documentos del proyecto europeo de agenda local de innovación de Cienfuegos; y (5) información periodística cubana e internacional sobre infraestructura sanitaria, proyectos de cooperación y economía turística.</w:t>
      </w:r>
    </w:p>
    <w:p w14:paraId="1BCC6940" w14:textId="77777777" w:rsidR="002A3852" w:rsidRPr="002A3852" w:rsidRDefault="002A3852" w:rsidP="00501E13">
      <w:pPr>
        <w:spacing w:after="0" w:line="240" w:lineRule="auto"/>
        <w:jc w:val="both"/>
        <w:rPr>
          <w:rFonts w:ascii="Arial" w:hAnsi="Arial" w:cs="Arial"/>
        </w:rPr>
      </w:pPr>
    </w:p>
    <w:p w14:paraId="0BEE71C1" w14:textId="77777777" w:rsidR="002A3852" w:rsidRPr="002A3852" w:rsidRDefault="002A3852" w:rsidP="00501E13">
      <w:pPr>
        <w:spacing w:after="0" w:line="240" w:lineRule="auto"/>
        <w:jc w:val="both"/>
        <w:rPr>
          <w:rFonts w:ascii="Arial" w:hAnsi="Arial" w:cs="Arial"/>
        </w:rPr>
      </w:pPr>
      <w:r w:rsidRPr="002A3852">
        <w:rPr>
          <w:rFonts w:ascii="Arial" w:hAnsi="Arial" w:cs="Arial"/>
        </w:rPr>
        <w:t>La estrategia analítica consistió en un análisis de contenido temático cuyo marco de codificación se organizó en torno a cuatro dimensiones: tipo y origen de los recursos de cooperación, existencia y forma de los mecanismos de mediación comercial, manifestaciones de capacidad comercial y naturaleza de los obstáculos institucionales y de mercado. La triangulación de fuentes se realizó comparando la consistencia informativa entre documentos oficiales, análisis académicos y cobertura periodística.</w:t>
      </w:r>
    </w:p>
    <w:p w14:paraId="558EA0C0" w14:textId="77777777" w:rsidR="002A3852" w:rsidRPr="002A3852" w:rsidRDefault="002A3852" w:rsidP="00501E13">
      <w:pPr>
        <w:spacing w:after="0" w:line="240" w:lineRule="auto"/>
        <w:jc w:val="both"/>
        <w:rPr>
          <w:rFonts w:ascii="Arial" w:hAnsi="Arial" w:cs="Arial"/>
        </w:rPr>
      </w:pPr>
    </w:p>
    <w:p w14:paraId="5BB9C2F6" w14:textId="6438DBB1" w:rsidR="002A3852" w:rsidRPr="002A3852" w:rsidRDefault="002A3852" w:rsidP="00501E13">
      <w:pPr>
        <w:spacing w:after="0" w:line="240" w:lineRule="auto"/>
        <w:jc w:val="both"/>
        <w:rPr>
          <w:rFonts w:ascii="Arial" w:hAnsi="Arial" w:cs="Arial"/>
        </w:rPr>
      </w:pPr>
      <w:r w:rsidRPr="002A3852">
        <w:rPr>
          <w:rFonts w:ascii="Arial" w:hAnsi="Arial" w:cs="Arial"/>
        </w:rPr>
        <w:t>4. Las tres rutas de conversión comercial del turismo médico en Cienfuegos</w:t>
      </w:r>
    </w:p>
    <w:p w14:paraId="00792FB6" w14:textId="77777777" w:rsidR="002A3852" w:rsidRPr="002A3852" w:rsidRDefault="002A3852" w:rsidP="00501E13">
      <w:pPr>
        <w:spacing w:after="0" w:line="240" w:lineRule="auto"/>
        <w:jc w:val="both"/>
        <w:rPr>
          <w:rFonts w:ascii="Arial" w:hAnsi="Arial" w:cs="Arial"/>
        </w:rPr>
      </w:pPr>
    </w:p>
    <w:p w14:paraId="44281283" w14:textId="74510A90" w:rsidR="002A3852" w:rsidRPr="002A3852" w:rsidRDefault="002A3852" w:rsidP="00501E13">
      <w:pPr>
        <w:spacing w:after="0" w:line="240" w:lineRule="auto"/>
        <w:jc w:val="both"/>
        <w:rPr>
          <w:rFonts w:ascii="Arial" w:hAnsi="Arial" w:cs="Arial"/>
        </w:rPr>
      </w:pPr>
      <w:r w:rsidRPr="002A3852">
        <w:rPr>
          <w:rFonts w:ascii="Arial" w:hAnsi="Arial" w:cs="Arial"/>
        </w:rPr>
        <w:t>4.1 Ruta uno: capacidades técnicas hacia exportación de servicios</w:t>
      </w:r>
    </w:p>
    <w:p w14:paraId="505B0AAD" w14:textId="77777777" w:rsidR="002A3852" w:rsidRPr="002A3852" w:rsidRDefault="002A3852" w:rsidP="00501E13">
      <w:pPr>
        <w:spacing w:after="0" w:line="240" w:lineRule="auto"/>
        <w:jc w:val="both"/>
        <w:rPr>
          <w:rFonts w:ascii="Arial" w:hAnsi="Arial" w:cs="Arial"/>
        </w:rPr>
      </w:pPr>
    </w:p>
    <w:p w14:paraId="4FB5610B" w14:textId="77777777" w:rsidR="002A3852" w:rsidRPr="002A3852" w:rsidRDefault="002A3852" w:rsidP="00501E13">
      <w:pPr>
        <w:spacing w:after="0" w:line="240" w:lineRule="auto"/>
        <w:jc w:val="both"/>
        <w:rPr>
          <w:rFonts w:ascii="Arial" w:hAnsi="Arial" w:cs="Arial"/>
        </w:rPr>
      </w:pPr>
      <w:r w:rsidRPr="002A3852">
        <w:rPr>
          <w:rFonts w:ascii="Arial" w:hAnsi="Arial" w:cs="Arial"/>
        </w:rPr>
        <w:t xml:space="preserve">La primera ruta sigue la secuencia: los proyectos de cooperación internacional aportan equipamiento y capacitación → las instituciones sanitarias locales acumulan capacidades profesionales → esas capacidades se comercializan bajo la forma de "exportación de servicios". La cooperación técnica francesa con el sistema de salud </w:t>
      </w:r>
      <w:r w:rsidRPr="002A3852">
        <w:rPr>
          <w:rFonts w:ascii="Arial" w:hAnsi="Arial" w:cs="Arial"/>
        </w:rPr>
        <w:lastRenderedPageBreak/>
        <w:t>cubano es el ejemplo paradigmático. La inauguración en noviembre de 2025 de un laboratorio avanzado y un insectario en el Instituto Pedro Kourí, junto con el fortalecimiento de capacidades diagnósticas del INHEM, constituye la expresión más reciente de esta cooperación (Granma, 2025). Durante la pandemia de COVID-19 estos proyectos movilizaron 5,6 millones de euros para la compra de ventiladores e insumos críticos.</w:t>
      </w:r>
    </w:p>
    <w:p w14:paraId="7C58C6CC" w14:textId="77777777" w:rsidR="002A3852" w:rsidRPr="002A3852" w:rsidRDefault="002A3852" w:rsidP="00501E13">
      <w:pPr>
        <w:spacing w:after="0" w:line="240" w:lineRule="auto"/>
        <w:jc w:val="both"/>
        <w:rPr>
          <w:rFonts w:ascii="Arial" w:hAnsi="Arial" w:cs="Arial"/>
        </w:rPr>
      </w:pPr>
    </w:p>
    <w:p w14:paraId="74CF7E36" w14:textId="77777777" w:rsidR="002A3852" w:rsidRPr="002A3852" w:rsidRDefault="002A3852" w:rsidP="00501E13">
      <w:pPr>
        <w:spacing w:after="0" w:line="240" w:lineRule="auto"/>
        <w:jc w:val="both"/>
        <w:rPr>
          <w:rFonts w:ascii="Arial" w:hAnsi="Arial" w:cs="Arial"/>
        </w:rPr>
      </w:pPr>
      <w:r w:rsidRPr="002A3852">
        <w:rPr>
          <w:rFonts w:ascii="Arial" w:hAnsi="Arial" w:cs="Arial"/>
        </w:rPr>
        <w:t>El potencial comercial de Cienfuegos en esta ruta depende de que las instituciones sanitarias provinciales alcancen un nivel de actualización tecnológica comparable al de las instituciones habaneras. Sin embargo, la comercialización por esta vía enfrenta una restricción estructural: los proyectos de cooperación técnica nunca se diseñaron para desarrollar productos turísticos. Los criterios de adquisición de equipos, capacitación del personal y control de calidad responden a una misión de salud pública, no a la gestión de expectativas de pacientes internacionales. La conversión de "capacidad" en "producto" exige una infraestructura comercial adicional —sistemas de reservas, estructura de precios, servicios multilingües, alojamiento complementario y logística de traslados— que está completamente ausente en la lógica de los proyectos de cooperación técnica.</w:t>
      </w:r>
    </w:p>
    <w:p w14:paraId="5729D26E" w14:textId="77777777" w:rsidR="002A3852" w:rsidRPr="002A3852" w:rsidRDefault="002A3852" w:rsidP="00501E13">
      <w:pPr>
        <w:spacing w:after="0" w:line="240" w:lineRule="auto"/>
        <w:jc w:val="both"/>
        <w:rPr>
          <w:rFonts w:ascii="Arial" w:hAnsi="Arial" w:cs="Arial"/>
        </w:rPr>
      </w:pPr>
    </w:p>
    <w:p w14:paraId="7A7AA6B1" w14:textId="640F1A6A" w:rsidR="002A3852" w:rsidRPr="002A3852" w:rsidRDefault="002A3852" w:rsidP="00501E13">
      <w:pPr>
        <w:spacing w:after="0" w:line="240" w:lineRule="auto"/>
        <w:jc w:val="both"/>
        <w:rPr>
          <w:rFonts w:ascii="Arial" w:hAnsi="Arial" w:cs="Arial"/>
        </w:rPr>
      </w:pPr>
      <w:r w:rsidRPr="002A3852">
        <w:rPr>
          <w:rFonts w:ascii="Arial" w:hAnsi="Arial" w:cs="Arial"/>
        </w:rPr>
        <w:t>4.2 Ruta dos: activos termales hacia oferta de bienestar comercializable</w:t>
      </w:r>
    </w:p>
    <w:p w14:paraId="4E59C13F" w14:textId="77777777" w:rsidR="002A3852" w:rsidRPr="002A3852" w:rsidRDefault="002A3852" w:rsidP="00501E13">
      <w:pPr>
        <w:spacing w:after="0" w:line="240" w:lineRule="auto"/>
        <w:jc w:val="both"/>
        <w:rPr>
          <w:rFonts w:ascii="Arial" w:hAnsi="Arial" w:cs="Arial"/>
        </w:rPr>
      </w:pPr>
    </w:p>
    <w:p w14:paraId="64576BEB" w14:textId="77777777" w:rsidR="002A3852" w:rsidRPr="002A3852" w:rsidRDefault="002A3852" w:rsidP="00501E13">
      <w:pPr>
        <w:spacing w:after="0" w:line="240" w:lineRule="auto"/>
        <w:jc w:val="both"/>
        <w:rPr>
          <w:rFonts w:ascii="Arial" w:hAnsi="Arial" w:cs="Arial"/>
        </w:rPr>
      </w:pPr>
      <w:r w:rsidRPr="002A3852">
        <w:rPr>
          <w:rFonts w:ascii="Arial" w:hAnsi="Arial" w:cs="Arial"/>
        </w:rPr>
        <w:t xml:space="preserve">La segunda ruta parte del "activo donado", pasa por la "capacidad instalada" y apunta a la construcción de productos de turismo de bienestar. El Centro Termal Ciego Montero y el Centro de Bienestar </w:t>
      </w:r>
      <w:proofErr w:type="spellStart"/>
      <w:r w:rsidRPr="002A3852">
        <w:rPr>
          <w:rFonts w:ascii="Arial" w:hAnsi="Arial" w:cs="Arial"/>
        </w:rPr>
        <w:t>Yaguanabo</w:t>
      </w:r>
      <w:proofErr w:type="spellEnd"/>
      <w:r w:rsidRPr="002A3852">
        <w:rPr>
          <w:rFonts w:ascii="Arial" w:hAnsi="Arial" w:cs="Arial"/>
        </w:rPr>
        <w:t xml:space="preserve"> son la expresión territorial de esta lógica. El catálogo de oportunidades de inversión de la CSMC define explícitamente como concepto central de producto el "aprovechamiento de aguas minerales, gases, vapores y peloides como agentes terapéuticos naturales", con el objetivo de ofrecer servicios de prevención, tratamiento y rehabilitación a "un público diverso y cada vez más exigente" (Ministerio de Comercio Exterior y la Inversión Extranjera, 2021).</w:t>
      </w:r>
    </w:p>
    <w:p w14:paraId="08D41501" w14:textId="77777777" w:rsidR="002A3852" w:rsidRPr="002A3852" w:rsidRDefault="002A3852" w:rsidP="00501E13">
      <w:pPr>
        <w:spacing w:after="0" w:line="240" w:lineRule="auto"/>
        <w:jc w:val="both"/>
        <w:rPr>
          <w:rFonts w:ascii="Arial" w:hAnsi="Arial" w:cs="Arial"/>
        </w:rPr>
      </w:pPr>
    </w:p>
    <w:p w14:paraId="4B3679CA" w14:textId="77777777" w:rsidR="002A3852" w:rsidRPr="002A3852" w:rsidRDefault="002A3852" w:rsidP="00501E13">
      <w:pPr>
        <w:spacing w:after="0" w:line="240" w:lineRule="auto"/>
        <w:jc w:val="both"/>
        <w:rPr>
          <w:rFonts w:ascii="Arial" w:hAnsi="Arial" w:cs="Arial"/>
        </w:rPr>
      </w:pPr>
      <w:r w:rsidRPr="002A3852">
        <w:rPr>
          <w:rFonts w:ascii="Arial" w:hAnsi="Arial" w:cs="Arial"/>
        </w:rPr>
        <w:t>La ventaja lógica de esta ruta es que los activos termales y de bienestar poseen un atractivo turístico evidente y no requieren construir desde cero la percepción del consumidor sobre lo "médico". La marca Ciego Montero goza de reconocimiento nacional (Alonso Galbán, 2023). No obstante, la transformación del "activo donado" en "producto de bienestar" tropieza con cuellos de botella en mantenimiento de equipos, estandarización internacional del servicio y capacidad de captación de clientes. La vida útil de los equipos donados es limitada y su mantenimiento y renovación exigen flujos de financiamiento continuos, mientras que la operación de un producto turístico requiere estabilidad de ingresos y calidad sostenida. Si la lógica de la donación domina el pensamiento operativo, el producto permanecerá en el estado de "recurso aprovechable" sin alcanzar la sostenibilidad comercial.</w:t>
      </w:r>
    </w:p>
    <w:p w14:paraId="03EB1D98" w14:textId="77777777" w:rsidR="002A3852" w:rsidRPr="002A3852" w:rsidRDefault="002A3852" w:rsidP="00501E13">
      <w:pPr>
        <w:spacing w:after="0" w:line="240" w:lineRule="auto"/>
        <w:jc w:val="both"/>
        <w:rPr>
          <w:rFonts w:ascii="Arial" w:hAnsi="Arial" w:cs="Arial"/>
        </w:rPr>
      </w:pPr>
    </w:p>
    <w:p w14:paraId="6DDAF036" w14:textId="32754820" w:rsidR="002A3852" w:rsidRPr="002A3852" w:rsidRDefault="002A3852" w:rsidP="00501E13">
      <w:pPr>
        <w:spacing w:after="0" w:line="240" w:lineRule="auto"/>
        <w:jc w:val="both"/>
        <w:rPr>
          <w:rFonts w:ascii="Arial" w:hAnsi="Arial" w:cs="Arial"/>
        </w:rPr>
      </w:pPr>
      <w:r w:rsidRPr="002A3852">
        <w:rPr>
          <w:rFonts w:ascii="Arial" w:hAnsi="Arial" w:cs="Arial"/>
        </w:rPr>
        <w:t>4.3 Ruta tres: encadenamiento intersectorial hacia producto integrado</w:t>
      </w:r>
    </w:p>
    <w:p w14:paraId="033E36F7" w14:textId="77777777" w:rsidR="002A3852" w:rsidRPr="002A3852" w:rsidRDefault="002A3852" w:rsidP="00501E13">
      <w:pPr>
        <w:spacing w:after="0" w:line="240" w:lineRule="auto"/>
        <w:jc w:val="both"/>
        <w:rPr>
          <w:rFonts w:ascii="Arial" w:hAnsi="Arial" w:cs="Arial"/>
        </w:rPr>
      </w:pPr>
    </w:p>
    <w:p w14:paraId="04CF5237" w14:textId="77777777" w:rsidR="002A3852" w:rsidRPr="002A3852" w:rsidRDefault="002A3852" w:rsidP="00501E13">
      <w:pPr>
        <w:spacing w:after="0" w:line="240" w:lineRule="auto"/>
        <w:jc w:val="both"/>
        <w:rPr>
          <w:rFonts w:ascii="Arial" w:hAnsi="Arial" w:cs="Arial"/>
        </w:rPr>
      </w:pPr>
      <w:r w:rsidRPr="002A3852">
        <w:rPr>
          <w:rFonts w:ascii="Arial" w:hAnsi="Arial" w:cs="Arial"/>
        </w:rPr>
        <w:t xml:space="preserve">La tercera ruta es la de mayor coherencia lógica comercial y, a la vez, la de mayor complejidad organizativa: mediante el encadenamiento intersectorial, los servicios de salud se insertan en productos turísticos más amplios y conforman un "producto integrado". El producto turístico "Litoral Sur", en desarrollo en Cienfuegos, ofrece el embrión de esta ruta. Integra nodos como la laguna de </w:t>
      </w:r>
      <w:proofErr w:type="spellStart"/>
      <w:r w:rsidRPr="002A3852">
        <w:rPr>
          <w:rFonts w:ascii="Arial" w:hAnsi="Arial" w:cs="Arial"/>
        </w:rPr>
        <w:t>Guanaroca</w:t>
      </w:r>
      <w:proofErr w:type="spellEnd"/>
      <w:r w:rsidRPr="002A3852">
        <w:rPr>
          <w:rFonts w:ascii="Arial" w:hAnsi="Arial" w:cs="Arial"/>
        </w:rPr>
        <w:t xml:space="preserve">, la playa de Rancho Luna, el castillo de Jagua y la Finca Los Colorados, articulados mediante un circuito </w:t>
      </w:r>
      <w:r w:rsidRPr="002A3852">
        <w:rPr>
          <w:rFonts w:ascii="Arial" w:hAnsi="Arial" w:cs="Arial"/>
        </w:rPr>
        <w:lastRenderedPageBreak/>
        <w:t xml:space="preserve">ferroviario turístico, y ya cuenta con arreglos de cooperación con entidades como </w:t>
      </w:r>
      <w:proofErr w:type="spellStart"/>
      <w:r w:rsidRPr="002A3852">
        <w:rPr>
          <w:rFonts w:ascii="Arial" w:hAnsi="Arial" w:cs="Arial"/>
        </w:rPr>
        <w:t>Transtur</w:t>
      </w:r>
      <w:proofErr w:type="spellEnd"/>
      <w:r w:rsidRPr="002A3852">
        <w:rPr>
          <w:rFonts w:ascii="Arial" w:hAnsi="Arial" w:cs="Arial"/>
        </w:rPr>
        <w:t>, Flora y Fauna, Palmares y Patrimonio (Radio Ciudad del Mar, 2025).</w:t>
      </w:r>
    </w:p>
    <w:p w14:paraId="2091A91A" w14:textId="77777777" w:rsidR="002A3852" w:rsidRPr="002A3852" w:rsidRDefault="002A3852" w:rsidP="00501E13">
      <w:pPr>
        <w:spacing w:after="0" w:line="240" w:lineRule="auto"/>
        <w:jc w:val="both"/>
        <w:rPr>
          <w:rFonts w:ascii="Arial" w:hAnsi="Arial" w:cs="Arial"/>
        </w:rPr>
      </w:pPr>
    </w:p>
    <w:p w14:paraId="0F111FDC" w14:textId="77777777" w:rsidR="002A3852" w:rsidRPr="002A3852" w:rsidRDefault="002A3852" w:rsidP="00501E13">
      <w:pPr>
        <w:spacing w:after="0" w:line="240" w:lineRule="auto"/>
        <w:jc w:val="both"/>
        <w:rPr>
          <w:rFonts w:ascii="Arial" w:hAnsi="Arial" w:cs="Arial"/>
        </w:rPr>
      </w:pPr>
      <w:r w:rsidRPr="002A3852">
        <w:rPr>
          <w:rFonts w:ascii="Arial" w:hAnsi="Arial" w:cs="Arial"/>
        </w:rPr>
        <w:t>La incorporación de elementos de turismo médico —terapias termales, programas de rehabilitación o atención especializada— a este producto integrado es técnicamente viable. Las instalaciones hoteleras de la zona de Rancho Luna pueden ofrecer alojamiento para la recuperación posoperatoria, los recursos termales de Ciego Montero pueden proporcionar agentes terapéuticos para la rehabilitación musculoesquelética, y la clínica internacional de la ciudad de Cienfuegos puede actuar como nodo organizador de los servicios médicos. Sin embargo, la lógica de la integración exige que las partes participantes acuerden precios, asignación de responsabilidades, estándares de servicio y reparto de ingresos. En el entorno institucional cubano actual, los mecanismos de coordinación entre empresas estatales y entre el sector estatal y el no estatal aún son inmaduros, y los costos de ejecución de contratos intersectoriales son elevados.</w:t>
      </w:r>
    </w:p>
    <w:p w14:paraId="1EFFE1D9" w14:textId="77777777" w:rsidR="002A3852" w:rsidRPr="002A3852" w:rsidRDefault="002A3852" w:rsidP="00501E13">
      <w:pPr>
        <w:spacing w:after="0" w:line="240" w:lineRule="auto"/>
        <w:jc w:val="both"/>
        <w:rPr>
          <w:rFonts w:ascii="Arial" w:hAnsi="Arial" w:cs="Arial"/>
        </w:rPr>
      </w:pPr>
    </w:p>
    <w:p w14:paraId="59881663" w14:textId="585CB184" w:rsidR="002A3852" w:rsidRPr="002A3852" w:rsidRDefault="002A3852" w:rsidP="00501E13">
      <w:pPr>
        <w:spacing w:after="0" w:line="240" w:lineRule="auto"/>
        <w:jc w:val="both"/>
        <w:rPr>
          <w:rFonts w:ascii="Arial" w:hAnsi="Arial" w:cs="Arial"/>
        </w:rPr>
      </w:pPr>
      <w:r w:rsidRPr="002A3852">
        <w:rPr>
          <w:rFonts w:ascii="Arial" w:hAnsi="Arial" w:cs="Arial"/>
        </w:rPr>
        <w:t>5. Desafíos comerciales y sus implicaciones para la gestión empresarial</w:t>
      </w:r>
    </w:p>
    <w:p w14:paraId="54CFC046" w14:textId="77777777" w:rsidR="002A3852" w:rsidRPr="002A3852" w:rsidRDefault="002A3852" w:rsidP="00501E13">
      <w:pPr>
        <w:spacing w:after="0" w:line="240" w:lineRule="auto"/>
        <w:jc w:val="both"/>
        <w:rPr>
          <w:rFonts w:ascii="Arial" w:hAnsi="Arial" w:cs="Arial"/>
        </w:rPr>
      </w:pPr>
    </w:p>
    <w:p w14:paraId="41101997" w14:textId="77777777" w:rsidR="002A3852" w:rsidRPr="002A3852" w:rsidRDefault="002A3852" w:rsidP="00501E13">
      <w:pPr>
        <w:spacing w:after="0" w:line="240" w:lineRule="auto"/>
        <w:jc w:val="both"/>
        <w:rPr>
          <w:rFonts w:ascii="Arial" w:hAnsi="Arial" w:cs="Arial"/>
        </w:rPr>
      </w:pPr>
      <w:r w:rsidRPr="002A3852">
        <w:rPr>
          <w:rFonts w:ascii="Arial" w:hAnsi="Arial" w:cs="Arial"/>
        </w:rPr>
        <w:t xml:space="preserve">El problema más revelador desde la gestión empresarial es la existencia de una fractura comercial. Cienfuegos dispone de recursos termales, instalaciones hoteleras, capacidades profesionales médicas y redes de cooperación internacional, pero estos elementos no están organizados en productos identificables, </w:t>
      </w:r>
      <w:proofErr w:type="spellStart"/>
      <w:r w:rsidRPr="002A3852">
        <w:rPr>
          <w:rFonts w:ascii="Arial" w:hAnsi="Arial" w:cs="Arial"/>
        </w:rPr>
        <w:t>tarifables</w:t>
      </w:r>
      <w:proofErr w:type="spellEnd"/>
      <w:r w:rsidRPr="002A3852">
        <w:rPr>
          <w:rFonts w:ascii="Arial" w:hAnsi="Arial" w:cs="Arial"/>
        </w:rPr>
        <w:t xml:space="preserve"> y comprables. El catálogo de productos desarrollado por la CSMC en el ámbito habanero —que incluye el tratamiento de la retinosis pigmentaria, el programa de la vacuna </w:t>
      </w:r>
      <w:proofErr w:type="spellStart"/>
      <w:r w:rsidRPr="002A3852">
        <w:rPr>
          <w:rFonts w:ascii="Arial" w:hAnsi="Arial" w:cs="Arial"/>
        </w:rPr>
        <w:t>CIMAvax</w:t>
      </w:r>
      <w:proofErr w:type="spellEnd"/>
      <w:r w:rsidRPr="002A3852">
        <w:rPr>
          <w:rFonts w:ascii="Arial" w:hAnsi="Arial" w:cs="Arial"/>
        </w:rPr>
        <w:t xml:space="preserve"> y la </w:t>
      </w:r>
      <w:proofErr w:type="spellStart"/>
      <w:r w:rsidRPr="002A3852">
        <w:rPr>
          <w:rFonts w:ascii="Arial" w:hAnsi="Arial" w:cs="Arial"/>
        </w:rPr>
        <w:t>Wellness</w:t>
      </w:r>
      <w:proofErr w:type="spellEnd"/>
      <w:r w:rsidRPr="002A3852">
        <w:rPr>
          <w:rFonts w:ascii="Arial" w:hAnsi="Arial" w:cs="Arial"/>
        </w:rPr>
        <w:t xml:space="preserve"> Room, entre otros— aún no se ha operacionalizado en el ámbito provincial (Servicios Médicos Cubanos, 2025; Alonso Galbán, 2024). Esta fractura no es un problema de recursos, sino de organización: faltan organizaciones mediadoras y capacidades técnicas capaces de convertir recursos en productos.</w:t>
      </w:r>
    </w:p>
    <w:p w14:paraId="21B29FBB" w14:textId="77777777" w:rsidR="002A3852" w:rsidRPr="002A3852" w:rsidRDefault="002A3852" w:rsidP="00501E13">
      <w:pPr>
        <w:spacing w:after="0" w:line="240" w:lineRule="auto"/>
        <w:jc w:val="both"/>
        <w:rPr>
          <w:rFonts w:ascii="Arial" w:hAnsi="Arial" w:cs="Arial"/>
        </w:rPr>
      </w:pPr>
    </w:p>
    <w:p w14:paraId="086E2579" w14:textId="77777777" w:rsidR="002A3852" w:rsidRPr="002A3852" w:rsidRDefault="002A3852" w:rsidP="00501E13">
      <w:pPr>
        <w:spacing w:after="0" w:line="240" w:lineRule="auto"/>
        <w:jc w:val="both"/>
        <w:rPr>
          <w:rFonts w:ascii="Arial" w:hAnsi="Arial" w:cs="Arial"/>
        </w:rPr>
      </w:pPr>
      <w:r w:rsidRPr="002A3852">
        <w:rPr>
          <w:rFonts w:ascii="Arial" w:hAnsi="Arial" w:cs="Arial"/>
        </w:rPr>
        <w:t>El desarrollo de productos de turismo médico exige que la gestión provincial posea capacidades profesionales en diseño de productos, negociación financiera, coordinación intersectorial y monitoreo del desempeño comercial. Estas capacidades no son suficientes en el aparato administrativo actual. La reforma descentralizadora de 2025 crea teóricamente espacio para el fortalecimiento de capacidades locales, pero la conversión de "competencias legales" en "capacidad real de ejecución comercial" requiere tiempo, formación y asistencia técnica. El déficit más crítico se ubica en habilidades de marketing, gestión de ingresos y relaciones con el cliente, no en capacidades de gestión de proyectos.</w:t>
      </w:r>
    </w:p>
    <w:p w14:paraId="04A04623" w14:textId="77777777" w:rsidR="002A3852" w:rsidRPr="002A3852" w:rsidRDefault="002A3852" w:rsidP="00501E13">
      <w:pPr>
        <w:spacing w:after="0" w:line="240" w:lineRule="auto"/>
        <w:jc w:val="both"/>
        <w:rPr>
          <w:rFonts w:ascii="Arial" w:hAnsi="Arial" w:cs="Arial"/>
        </w:rPr>
      </w:pPr>
    </w:p>
    <w:p w14:paraId="13AF6284" w14:textId="77777777" w:rsidR="002A3852" w:rsidRPr="002A3852" w:rsidRDefault="002A3852" w:rsidP="00501E13">
      <w:pPr>
        <w:spacing w:after="0" w:line="240" w:lineRule="auto"/>
        <w:jc w:val="both"/>
        <w:rPr>
          <w:rFonts w:ascii="Arial" w:hAnsi="Arial" w:cs="Arial"/>
        </w:rPr>
      </w:pPr>
      <w:r w:rsidRPr="002A3852">
        <w:rPr>
          <w:rFonts w:ascii="Arial" w:hAnsi="Arial" w:cs="Arial"/>
        </w:rPr>
        <w:t xml:space="preserve">La posición consolidada de México y Costa Rica en los mercados de odontología, cirugía plástica y medicina regenerativa, así como la ventaja competitiva de Turquía e India en costos, configuran el entorno competitivo externo del turismo médico cubano. Para que Cienfuegos acceda a este mercado se requiere una estrategia de diferenciación clara. Los posicionamientos posibles incluyen: (1) la profundidad profesional de la terapia termal, aprovechando la singularidad natural de los peloides y las aguas minerales cubanas; (2) la accesibilidad exclusiva a productos biotecnológicos cubanos como </w:t>
      </w:r>
      <w:proofErr w:type="spellStart"/>
      <w:r w:rsidRPr="002A3852">
        <w:rPr>
          <w:rFonts w:ascii="Arial" w:hAnsi="Arial" w:cs="Arial"/>
        </w:rPr>
        <w:t>CIMAvax</w:t>
      </w:r>
      <w:proofErr w:type="spellEnd"/>
      <w:r w:rsidRPr="002A3852">
        <w:rPr>
          <w:rFonts w:ascii="Arial" w:hAnsi="Arial" w:cs="Arial"/>
        </w:rPr>
        <w:t xml:space="preserve"> y </w:t>
      </w:r>
      <w:proofErr w:type="spellStart"/>
      <w:r w:rsidRPr="002A3852">
        <w:rPr>
          <w:rFonts w:ascii="Arial" w:hAnsi="Arial" w:cs="Arial"/>
        </w:rPr>
        <w:t>Heberprot</w:t>
      </w:r>
      <w:proofErr w:type="spellEnd"/>
      <w:r w:rsidRPr="002A3852">
        <w:rPr>
          <w:rFonts w:ascii="Arial" w:hAnsi="Arial" w:cs="Arial"/>
        </w:rPr>
        <w:t>-P, insustituibles en el mercado internacional; y (3) la combinación de medicina de rehabilitación con entorno natural, orientada al segmento del envejecimiento europeo que busca recuperación posoperatoria y gestión del bienestar.</w:t>
      </w:r>
    </w:p>
    <w:p w14:paraId="4A632577" w14:textId="77777777" w:rsidR="002A3852" w:rsidRPr="002A3852" w:rsidRDefault="002A3852" w:rsidP="00501E13">
      <w:pPr>
        <w:spacing w:after="0" w:line="240" w:lineRule="auto"/>
        <w:jc w:val="both"/>
        <w:rPr>
          <w:rFonts w:ascii="Arial" w:hAnsi="Arial" w:cs="Arial"/>
        </w:rPr>
      </w:pPr>
    </w:p>
    <w:p w14:paraId="58A112F5" w14:textId="60AE5D16" w:rsidR="002A3852" w:rsidRPr="00501E13" w:rsidRDefault="002A3852" w:rsidP="00501E13">
      <w:pPr>
        <w:spacing w:after="0" w:line="240" w:lineRule="auto"/>
        <w:jc w:val="both"/>
        <w:rPr>
          <w:rFonts w:ascii="Arial" w:hAnsi="Arial" w:cs="Arial"/>
          <w:b/>
          <w:bCs/>
        </w:rPr>
      </w:pPr>
      <w:r w:rsidRPr="00501E13">
        <w:rPr>
          <w:rFonts w:ascii="Arial" w:hAnsi="Arial" w:cs="Arial"/>
          <w:b/>
          <w:bCs/>
        </w:rPr>
        <w:t>Conclusiones</w:t>
      </w:r>
    </w:p>
    <w:p w14:paraId="36611AD8" w14:textId="77777777" w:rsidR="002A3852" w:rsidRPr="002A3852" w:rsidRDefault="002A3852" w:rsidP="00501E13">
      <w:pPr>
        <w:spacing w:after="0" w:line="240" w:lineRule="auto"/>
        <w:jc w:val="both"/>
        <w:rPr>
          <w:rFonts w:ascii="Arial" w:hAnsi="Arial" w:cs="Arial"/>
        </w:rPr>
      </w:pPr>
    </w:p>
    <w:p w14:paraId="04C92138" w14:textId="77777777" w:rsidR="00501E13" w:rsidRDefault="002A3852" w:rsidP="00501E13">
      <w:pPr>
        <w:spacing w:after="0" w:line="240" w:lineRule="auto"/>
        <w:jc w:val="both"/>
        <w:rPr>
          <w:rFonts w:ascii="Arial" w:hAnsi="Arial" w:cs="Arial"/>
        </w:rPr>
      </w:pPr>
      <w:r w:rsidRPr="002A3852">
        <w:rPr>
          <w:rFonts w:ascii="Arial" w:hAnsi="Arial" w:cs="Arial"/>
        </w:rPr>
        <w:t>El caso de Cienfuegos demuestra que la conversión de la cooperación internacional en salud en producto de turismo médico no es función de la dotación de recursos, sino de la capacidad organizativa y comercial.</w:t>
      </w:r>
    </w:p>
    <w:p w14:paraId="1BC86EFA" w14:textId="02195DD6" w:rsidR="002A3852" w:rsidRPr="002A3852" w:rsidRDefault="00501E13" w:rsidP="00501E13">
      <w:pPr>
        <w:spacing w:after="0" w:line="240" w:lineRule="auto"/>
        <w:jc w:val="both"/>
        <w:rPr>
          <w:rFonts w:ascii="Arial" w:hAnsi="Arial" w:cs="Arial"/>
        </w:rPr>
      </w:pPr>
      <w:r>
        <w:rPr>
          <w:rFonts w:ascii="Arial" w:hAnsi="Arial" w:cs="Arial"/>
        </w:rPr>
        <w:t>E</w:t>
      </w:r>
      <w:r w:rsidR="002A3852" w:rsidRPr="002A3852">
        <w:rPr>
          <w:rFonts w:ascii="Arial" w:hAnsi="Arial" w:cs="Arial"/>
        </w:rPr>
        <w:t>l desarrollo del producto debe preceder a la inversión en infraestructura</w:t>
      </w:r>
      <w:r>
        <w:rPr>
          <w:rFonts w:ascii="Arial" w:hAnsi="Arial" w:cs="Arial"/>
        </w:rPr>
        <w:t xml:space="preserve">, </w:t>
      </w:r>
      <w:r w:rsidR="002A3852" w:rsidRPr="002A3852">
        <w:rPr>
          <w:rFonts w:ascii="Arial" w:hAnsi="Arial" w:cs="Arial"/>
        </w:rPr>
        <w:t xml:space="preserve">el fortalecimiento de capacidades locales debe centrarse en habilidades comerciales. La capacitación en compras públicas y gestión de proyectos no basta para sostener la operación de un producto turístico. Se requiere incorporar desarrollo profesional en marketing, operaciones de servicio, gestión de ingresos y relaciones con el cliente. Tercera: la elección de la ruta de conversión debe basarse en la viabilidad organizativa y no en la teoría de recursos. </w:t>
      </w:r>
    </w:p>
    <w:p w14:paraId="73563E57" w14:textId="77777777" w:rsidR="002A3852" w:rsidRPr="002A3852" w:rsidRDefault="002A3852" w:rsidP="00501E13">
      <w:pPr>
        <w:spacing w:after="0" w:line="240" w:lineRule="auto"/>
        <w:jc w:val="both"/>
        <w:rPr>
          <w:rFonts w:ascii="Arial" w:hAnsi="Arial" w:cs="Arial"/>
        </w:rPr>
      </w:pPr>
    </w:p>
    <w:p w14:paraId="4EA2816C" w14:textId="22318454" w:rsidR="002A3852" w:rsidRPr="00501E13" w:rsidRDefault="002A3852" w:rsidP="00501E13">
      <w:pPr>
        <w:spacing w:after="0" w:line="240" w:lineRule="auto"/>
        <w:jc w:val="both"/>
        <w:rPr>
          <w:rFonts w:ascii="Arial" w:hAnsi="Arial" w:cs="Arial"/>
          <w:b/>
          <w:bCs/>
        </w:rPr>
      </w:pPr>
      <w:r w:rsidRPr="00501E13">
        <w:rPr>
          <w:rFonts w:ascii="Arial" w:hAnsi="Arial" w:cs="Arial"/>
          <w:b/>
          <w:bCs/>
        </w:rPr>
        <w:t>Referencias</w:t>
      </w:r>
    </w:p>
    <w:p w14:paraId="4B4BE2C7" w14:textId="77777777" w:rsidR="002A3852" w:rsidRPr="002A3852" w:rsidRDefault="002A3852" w:rsidP="00501E13">
      <w:pPr>
        <w:spacing w:after="0" w:line="240" w:lineRule="auto"/>
        <w:jc w:val="both"/>
        <w:rPr>
          <w:rFonts w:ascii="Arial" w:hAnsi="Arial" w:cs="Arial"/>
        </w:rPr>
      </w:pPr>
    </w:p>
    <w:p w14:paraId="3947BE44" w14:textId="77777777" w:rsidR="002A3852" w:rsidRPr="002A3852" w:rsidRDefault="002A3852" w:rsidP="00501E13">
      <w:pPr>
        <w:spacing w:after="0" w:line="240" w:lineRule="auto"/>
        <w:ind w:left="227" w:right="57" w:hanging="227"/>
        <w:jc w:val="both"/>
        <w:rPr>
          <w:rFonts w:ascii="Arial" w:hAnsi="Arial" w:cs="Arial"/>
        </w:rPr>
      </w:pPr>
      <w:r w:rsidRPr="002A3852">
        <w:rPr>
          <w:rFonts w:ascii="Arial" w:hAnsi="Arial" w:cs="Arial"/>
        </w:rPr>
        <w:t>Alonso Galbán, P. (2023, 15 de octubre). Inversión extranjera en el sector de la salud: Ciego Montero, un tesoro cubano de aguas curativas. *Servicios Médicos Cubanos*. https://www.smcsalud.cu/blog/servicios-medicos-cubanos-1/inversion-extranjera-en-el-sector-de-la-salud-ciego-montero-un-tesoro-cubano-de-aguas-curativas-99</w:t>
      </w:r>
    </w:p>
    <w:p w14:paraId="105B059B" w14:textId="77777777" w:rsidR="002A3852" w:rsidRPr="002A3852" w:rsidRDefault="002A3852" w:rsidP="00501E13">
      <w:pPr>
        <w:spacing w:after="0" w:line="240" w:lineRule="auto"/>
        <w:ind w:left="227" w:right="57" w:hanging="227"/>
        <w:jc w:val="both"/>
        <w:rPr>
          <w:rFonts w:ascii="Arial" w:hAnsi="Arial" w:cs="Arial"/>
        </w:rPr>
      </w:pPr>
    </w:p>
    <w:p w14:paraId="0EF2C90E" w14:textId="77777777" w:rsidR="002A3852" w:rsidRPr="002A3852" w:rsidRDefault="002A3852" w:rsidP="00501E13">
      <w:pPr>
        <w:spacing w:after="0" w:line="240" w:lineRule="auto"/>
        <w:ind w:left="227" w:right="57" w:hanging="227"/>
        <w:jc w:val="both"/>
        <w:rPr>
          <w:rFonts w:ascii="Arial" w:hAnsi="Arial" w:cs="Arial"/>
        </w:rPr>
      </w:pPr>
      <w:r w:rsidRPr="002A3852">
        <w:rPr>
          <w:rFonts w:ascii="Arial" w:hAnsi="Arial" w:cs="Arial"/>
        </w:rPr>
        <w:t xml:space="preserve">Alonso Galbán, P. (2024, 11 de diciembre). Descubre el turismo de bienestar en Cuba: Habitaciones </w:t>
      </w:r>
      <w:proofErr w:type="spellStart"/>
      <w:r w:rsidRPr="002A3852">
        <w:rPr>
          <w:rFonts w:ascii="Arial" w:hAnsi="Arial" w:cs="Arial"/>
        </w:rPr>
        <w:t>Wellness</w:t>
      </w:r>
      <w:proofErr w:type="spellEnd"/>
      <w:r w:rsidRPr="002A3852">
        <w:rPr>
          <w:rFonts w:ascii="Arial" w:hAnsi="Arial" w:cs="Arial"/>
        </w:rPr>
        <w:t xml:space="preserve"> y tratamientos innovadores. *Servicios Médicos Cubanos*. https://www.smcsalud.cu/blog/servicios-medicos-cubanos-1/descubre-el-turismo-de-bienestar-en-cuba-habitaciones-wellness-y-tratamientos-innovadores-196</w:t>
      </w:r>
    </w:p>
    <w:p w14:paraId="1317C4FA" w14:textId="77777777" w:rsidR="002A3852" w:rsidRPr="002A3852" w:rsidRDefault="002A3852" w:rsidP="00501E13">
      <w:pPr>
        <w:spacing w:after="0" w:line="240" w:lineRule="auto"/>
        <w:ind w:left="227" w:right="57" w:hanging="227"/>
        <w:jc w:val="both"/>
        <w:rPr>
          <w:rFonts w:ascii="Arial" w:hAnsi="Arial" w:cs="Arial"/>
        </w:rPr>
      </w:pPr>
    </w:p>
    <w:p w14:paraId="11EC68B7" w14:textId="77777777" w:rsidR="002A3852" w:rsidRPr="002A3852" w:rsidRDefault="002A3852" w:rsidP="00501E13">
      <w:pPr>
        <w:spacing w:after="0" w:line="240" w:lineRule="auto"/>
        <w:ind w:left="227" w:right="57" w:hanging="227"/>
        <w:jc w:val="both"/>
        <w:rPr>
          <w:rFonts w:ascii="Arial" w:hAnsi="Arial" w:cs="Arial"/>
        </w:rPr>
      </w:pPr>
      <w:r w:rsidRPr="002A3852">
        <w:rPr>
          <w:rFonts w:ascii="Arial" w:hAnsi="Arial" w:cs="Arial"/>
        </w:rPr>
        <w:t xml:space="preserve">Gaceta Oficial de la República de Cuba. (2025, 20 de diciembre). Decreto 138 de 2025 de Consejo de </w:t>
      </w:r>
      <w:proofErr w:type="gramStart"/>
      <w:r w:rsidRPr="002A3852">
        <w:rPr>
          <w:rFonts w:ascii="Arial" w:hAnsi="Arial" w:cs="Arial"/>
        </w:rPr>
        <w:t>Ministros</w:t>
      </w:r>
      <w:proofErr w:type="gramEnd"/>
      <w:r w:rsidRPr="002A3852">
        <w:rPr>
          <w:rFonts w:ascii="Arial" w:hAnsi="Arial" w:cs="Arial"/>
        </w:rPr>
        <w:t>. *Gaceta Oficial No. 95 Ordinaria de 2025*. https://www.gacetaoficial.gob.cu/es/gaceta-oficial-no-95-ordinaria-de-2025</w:t>
      </w:r>
    </w:p>
    <w:p w14:paraId="3579E94E" w14:textId="77777777" w:rsidR="002A3852" w:rsidRPr="002A3852" w:rsidRDefault="002A3852" w:rsidP="00501E13">
      <w:pPr>
        <w:spacing w:after="0" w:line="240" w:lineRule="auto"/>
        <w:ind w:left="227" w:right="57" w:hanging="227"/>
        <w:jc w:val="both"/>
        <w:rPr>
          <w:rFonts w:ascii="Arial" w:hAnsi="Arial" w:cs="Arial"/>
        </w:rPr>
      </w:pPr>
    </w:p>
    <w:p w14:paraId="20F8315A" w14:textId="77777777" w:rsidR="002A3852" w:rsidRPr="002A3852" w:rsidRDefault="002A3852" w:rsidP="00501E13">
      <w:pPr>
        <w:spacing w:after="0" w:line="240" w:lineRule="auto"/>
        <w:ind w:left="227" w:right="57" w:hanging="227"/>
        <w:jc w:val="both"/>
        <w:rPr>
          <w:rFonts w:ascii="Arial" w:hAnsi="Arial" w:cs="Arial"/>
        </w:rPr>
      </w:pPr>
      <w:r w:rsidRPr="002A3852">
        <w:rPr>
          <w:rFonts w:ascii="Arial" w:hAnsi="Arial" w:cs="Arial"/>
        </w:rPr>
        <w:t xml:space="preserve">Global Market </w:t>
      </w:r>
      <w:proofErr w:type="spellStart"/>
      <w:r w:rsidRPr="002A3852">
        <w:rPr>
          <w:rFonts w:ascii="Arial" w:hAnsi="Arial" w:cs="Arial"/>
        </w:rPr>
        <w:t>Insights</w:t>
      </w:r>
      <w:proofErr w:type="spellEnd"/>
      <w:r w:rsidRPr="002A3852">
        <w:rPr>
          <w:rFonts w:ascii="Arial" w:hAnsi="Arial" w:cs="Arial"/>
        </w:rPr>
        <w:t xml:space="preserve">. (2026). *Medical </w:t>
      </w:r>
      <w:proofErr w:type="spellStart"/>
      <w:r w:rsidRPr="002A3852">
        <w:rPr>
          <w:rFonts w:ascii="Arial" w:hAnsi="Arial" w:cs="Arial"/>
        </w:rPr>
        <w:t>tourism</w:t>
      </w:r>
      <w:proofErr w:type="spellEnd"/>
      <w:r w:rsidRPr="002A3852">
        <w:rPr>
          <w:rFonts w:ascii="Arial" w:hAnsi="Arial" w:cs="Arial"/>
        </w:rPr>
        <w:t xml:space="preserve"> </w:t>
      </w:r>
      <w:proofErr w:type="spellStart"/>
      <w:r w:rsidRPr="002A3852">
        <w:rPr>
          <w:rFonts w:ascii="Arial" w:hAnsi="Arial" w:cs="Arial"/>
        </w:rPr>
        <w:t>market</w:t>
      </w:r>
      <w:proofErr w:type="spellEnd"/>
      <w:r w:rsidRPr="002A3852">
        <w:rPr>
          <w:rFonts w:ascii="Arial" w:hAnsi="Arial" w:cs="Arial"/>
        </w:rPr>
        <w:t xml:space="preserve"> </w:t>
      </w:r>
      <w:proofErr w:type="spellStart"/>
      <w:r w:rsidRPr="002A3852">
        <w:rPr>
          <w:rFonts w:ascii="Arial" w:hAnsi="Arial" w:cs="Arial"/>
        </w:rPr>
        <w:t>size</w:t>
      </w:r>
      <w:proofErr w:type="spellEnd"/>
      <w:r w:rsidRPr="002A3852">
        <w:rPr>
          <w:rFonts w:ascii="Arial" w:hAnsi="Arial" w:cs="Arial"/>
        </w:rPr>
        <w:t xml:space="preserve">, </w:t>
      </w:r>
      <w:proofErr w:type="spellStart"/>
      <w:r w:rsidRPr="002A3852">
        <w:rPr>
          <w:rFonts w:ascii="Arial" w:hAnsi="Arial" w:cs="Arial"/>
        </w:rPr>
        <w:t>trends</w:t>
      </w:r>
      <w:proofErr w:type="spellEnd"/>
      <w:r w:rsidRPr="002A3852">
        <w:rPr>
          <w:rFonts w:ascii="Arial" w:hAnsi="Arial" w:cs="Arial"/>
        </w:rPr>
        <w:t xml:space="preserve"> and </w:t>
      </w:r>
      <w:proofErr w:type="spellStart"/>
      <w:r w:rsidRPr="002A3852">
        <w:rPr>
          <w:rFonts w:ascii="Arial" w:hAnsi="Arial" w:cs="Arial"/>
        </w:rPr>
        <w:t>forecast</w:t>
      </w:r>
      <w:proofErr w:type="spellEnd"/>
      <w:r w:rsidRPr="002A3852">
        <w:rPr>
          <w:rFonts w:ascii="Arial" w:hAnsi="Arial" w:cs="Arial"/>
        </w:rPr>
        <w:t>, 2026-2035*. https://www.gminsights.com</w:t>
      </w:r>
    </w:p>
    <w:p w14:paraId="6C89FF44" w14:textId="77777777" w:rsidR="002A3852" w:rsidRPr="002A3852" w:rsidRDefault="002A3852" w:rsidP="00501E13">
      <w:pPr>
        <w:spacing w:after="0" w:line="240" w:lineRule="auto"/>
        <w:ind w:left="227" w:right="57" w:hanging="227"/>
        <w:jc w:val="both"/>
        <w:rPr>
          <w:rFonts w:ascii="Arial" w:hAnsi="Arial" w:cs="Arial"/>
        </w:rPr>
      </w:pPr>
    </w:p>
    <w:p w14:paraId="5A4C12E1" w14:textId="77777777" w:rsidR="002A3852" w:rsidRPr="002A3852" w:rsidRDefault="002A3852" w:rsidP="00501E13">
      <w:pPr>
        <w:spacing w:after="0" w:line="240" w:lineRule="auto"/>
        <w:ind w:left="227" w:right="57" w:hanging="227"/>
        <w:jc w:val="both"/>
        <w:rPr>
          <w:rFonts w:ascii="Arial" w:hAnsi="Arial" w:cs="Arial"/>
        </w:rPr>
      </w:pPr>
      <w:r w:rsidRPr="002A3852">
        <w:rPr>
          <w:rFonts w:ascii="Arial" w:hAnsi="Arial" w:cs="Arial"/>
        </w:rPr>
        <w:t>México Travel Channel. (2025, 12 de noviembre). México alcanza el segundo lugar mundial en turismo médico. https://mexicotravelchannel.com.mx</w:t>
      </w:r>
    </w:p>
    <w:p w14:paraId="337D15BC" w14:textId="77777777" w:rsidR="002A3852" w:rsidRPr="002A3852" w:rsidRDefault="002A3852" w:rsidP="00501E13">
      <w:pPr>
        <w:spacing w:after="0" w:line="240" w:lineRule="auto"/>
        <w:ind w:left="227" w:right="57" w:hanging="227"/>
        <w:jc w:val="both"/>
        <w:rPr>
          <w:rFonts w:ascii="Arial" w:hAnsi="Arial" w:cs="Arial"/>
        </w:rPr>
      </w:pPr>
    </w:p>
    <w:p w14:paraId="60B79886" w14:textId="77777777" w:rsidR="002A3852" w:rsidRPr="002A3852" w:rsidRDefault="002A3852" w:rsidP="00501E13">
      <w:pPr>
        <w:spacing w:after="0" w:line="240" w:lineRule="auto"/>
        <w:ind w:left="227" w:right="57" w:hanging="227"/>
        <w:jc w:val="both"/>
        <w:rPr>
          <w:rFonts w:ascii="Arial" w:hAnsi="Arial" w:cs="Arial"/>
        </w:rPr>
      </w:pPr>
      <w:r w:rsidRPr="002A3852">
        <w:rPr>
          <w:rFonts w:ascii="Arial" w:hAnsi="Arial" w:cs="Arial"/>
        </w:rPr>
        <w:t>Ministerio de Comercio Exterior y la Inversión Extranjera. (2021, 29 de septiembre). *Centro de Bienestar y Salud en el balneario de aguas mineromedicinales Ciego Montero*. https://www.inviertaencuba.mincex.gob.cu/es/projects/export/2021/09/29/centro-de-bienestar-y-salud-en-el-balneario-de-aguas-mineromedicinales-ciego-montero/</w:t>
      </w:r>
    </w:p>
    <w:p w14:paraId="7E63349A" w14:textId="77777777" w:rsidR="002A3852" w:rsidRPr="002A3852" w:rsidRDefault="002A3852" w:rsidP="00501E13">
      <w:pPr>
        <w:spacing w:after="0" w:line="240" w:lineRule="auto"/>
        <w:ind w:left="227" w:right="57" w:hanging="227"/>
        <w:jc w:val="both"/>
        <w:rPr>
          <w:rFonts w:ascii="Arial" w:hAnsi="Arial" w:cs="Arial"/>
        </w:rPr>
      </w:pPr>
    </w:p>
    <w:p w14:paraId="54880CF3" w14:textId="77777777" w:rsidR="002A3852" w:rsidRPr="002A3852" w:rsidRDefault="002A3852" w:rsidP="00501E13">
      <w:pPr>
        <w:spacing w:after="0" w:line="240" w:lineRule="auto"/>
        <w:ind w:left="227" w:right="57" w:hanging="227"/>
        <w:jc w:val="both"/>
        <w:rPr>
          <w:rFonts w:ascii="Arial" w:hAnsi="Arial" w:cs="Arial"/>
        </w:rPr>
      </w:pPr>
      <w:r w:rsidRPr="002A3852">
        <w:rPr>
          <w:rFonts w:ascii="Arial" w:hAnsi="Arial" w:cs="Arial"/>
        </w:rPr>
        <w:t xml:space="preserve">Rey Novoa, J. M., Torres </w:t>
      </w:r>
      <w:proofErr w:type="spellStart"/>
      <w:r w:rsidRPr="002A3852">
        <w:rPr>
          <w:rFonts w:ascii="Arial" w:hAnsi="Arial" w:cs="Arial"/>
        </w:rPr>
        <w:t>Paez</w:t>
      </w:r>
      <w:proofErr w:type="spellEnd"/>
      <w:r w:rsidRPr="002A3852">
        <w:rPr>
          <w:rFonts w:ascii="Arial" w:hAnsi="Arial" w:cs="Arial"/>
        </w:rPr>
        <w:t>, C. C., García Lorenzo, D. M., Pérez de Armas, M., &amp; Díaz Ramos, C. (2025). Análisis estratégico: gobernanza territorial para el desarrollo a escala provincial. *Cooperativismo y Desarrollo, 13*(3), e887. https://coodes.upr.edu.cu/index.php/coodes/article/view/887</w:t>
      </w:r>
    </w:p>
    <w:p w14:paraId="0265A704" w14:textId="77777777" w:rsidR="002A3852" w:rsidRPr="002A3852" w:rsidRDefault="002A3852" w:rsidP="00501E13">
      <w:pPr>
        <w:spacing w:after="0" w:line="240" w:lineRule="auto"/>
        <w:jc w:val="both"/>
        <w:rPr>
          <w:rFonts w:ascii="Arial" w:hAnsi="Arial" w:cs="Arial"/>
        </w:rPr>
      </w:pPr>
    </w:p>
    <w:p w14:paraId="40B7F783" w14:textId="6B876D72" w:rsidR="002A3852" w:rsidRPr="002A3852" w:rsidRDefault="002A3852" w:rsidP="00501E13">
      <w:pPr>
        <w:spacing w:after="0" w:line="240" w:lineRule="auto"/>
        <w:jc w:val="both"/>
        <w:rPr>
          <w:rFonts w:ascii="Arial" w:hAnsi="Arial" w:cs="Arial"/>
        </w:rPr>
      </w:pPr>
      <w:r w:rsidRPr="002A3852">
        <w:rPr>
          <w:rFonts w:ascii="Arial" w:hAnsi="Arial" w:cs="Arial"/>
        </w:rPr>
        <w:lastRenderedPageBreak/>
        <w:t>Servicios Médicos Cubanos. (2025, 30 de julio). *</w:t>
      </w:r>
      <w:proofErr w:type="spellStart"/>
      <w:r w:rsidRPr="002A3852">
        <w:rPr>
          <w:rFonts w:ascii="Arial" w:hAnsi="Arial" w:cs="Arial"/>
        </w:rPr>
        <w:t>Wellness</w:t>
      </w:r>
      <w:proofErr w:type="spellEnd"/>
      <w:r w:rsidRPr="002A3852">
        <w:rPr>
          <w:rFonts w:ascii="Arial" w:hAnsi="Arial" w:cs="Arial"/>
        </w:rPr>
        <w:t xml:space="preserve"> </w:t>
      </w:r>
      <w:proofErr w:type="spellStart"/>
      <w:r w:rsidRPr="002A3852">
        <w:rPr>
          <w:rFonts w:ascii="Arial" w:hAnsi="Arial" w:cs="Arial"/>
        </w:rPr>
        <w:t>Rooms</w:t>
      </w:r>
      <w:proofErr w:type="spellEnd"/>
      <w:r w:rsidRPr="002A3852">
        <w:rPr>
          <w:rFonts w:ascii="Arial" w:hAnsi="Arial" w:cs="Arial"/>
        </w:rPr>
        <w:t xml:space="preserve"> in Cuba: Rest </w:t>
      </w:r>
      <w:proofErr w:type="spellStart"/>
      <w:r w:rsidRPr="002A3852">
        <w:rPr>
          <w:rFonts w:ascii="Arial" w:hAnsi="Arial" w:cs="Arial"/>
        </w:rPr>
        <w:t>that</w:t>
      </w:r>
      <w:proofErr w:type="spellEnd"/>
      <w:r w:rsidRPr="002A3852">
        <w:rPr>
          <w:rFonts w:ascii="Arial" w:hAnsi="Arial" w:cs="Arial"/>
        </w:rPr>
        <w:t xml:space="preserve"> </w:t>
      </w:r>
      <w:proofErr w:type="spellStart"/>
      <w:r w:rsidRPr="002A3852">
        <w:rPr>
          <w:rFonts w:ascii="Arial" w:hAnsi="Arial" w:cs="Arial"/>
        </w:rPr>
        <w:t>transforms</w:t>
      </w:r>
      <w:proofErr w:type="spellEnd"/>
      <w:r w:rsidRPr="002A3852">
        <w:rPr>
          <w:rFonts w:ascii="Arial" w:hAnsi="Arial" w:cs="Arial"/>
        </w:rPr>
        <w:t xml:space="preserve"> </w:t>
      </w:r>
      <w:proofErr w:type="spellStart"/>
      <w:r w:rsidRPr="002A3852">
        <w:rPr>
          <w:rFonts w:ascii="Arial" w:hAnsi="Arial" w:cs="Arial"/>
        </w:rPr>
        <w:t>body</w:t>
      </w:r>
      <w:proofErr w:type="spellEnd"/>
      <w:r w:rsidRPr="002A3852">
        <w:rPr>
          <w:rFonts w:ascii="Arial" w:hAnsi="Arial" w:cs="Arial"/>
        </w:rPr>
        <w:t xml:space="preserve"> and </w:t>
      </w:r>
      <w:proofErr w:type="spellStart"/>
      <w:r w:rsidRPr="002A3852">
        <w:rPr>
          <w:rFonts w:ascii="Arial" w:hAnsi="Arial" w:cs="Arial"/>
        </w:rPr>
        <w:t>mind</w:t>
      </w:r>
      <w:proofErr w:type="spellEnd"/>
      <w:r w:rsidRPr="002A3852">
        <w:rPr>
          <w:rFonts w:ascii="Arial" w:hAnsi="Arial" w:cs="Arial"/>
        </w:rPr>
        <w:t>*. https://www.smcsalud.cu/ru/blog/fevexpo-1/wellness-rooms-in-cuba-rest-that-transforms-body-and-mind-277</w:t>
      </w:r>
    </w:p>
    <w:sectPr w:rsidR="002A3852" w:rsidRPr="002A3852" w:rsidSect="00EE72C6">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2C6"/>
    <w:rsid w:val="00146C68"/>
    <w:rsid w:val="00224899"/>
    <w:rsid w:val="002A3852"/>
    <w:rsid w:val="0035499B"/>
    <w:rsid w:val="00501E13"/>
    <w:rsid w:val="005234B7"/>
    <w:rsid w:val="00AB4ADF"/>
    <w:rsid w:val="00B43D51"/>
    <w:rsid w:val="00D92CC5"/>
    <w:rsid w:val="00EE72C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275F3"/>
  <w15:chartTrackingRefBased/>
  <w15:docId w15:val="{C34F84D4-301F-4027-8D76-82BC6E00F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E72C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EE72C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EE72C6"/>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EE72C6"/>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EE72C6"/>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EE72C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E72C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E72C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E72C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E72C6"/>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EE72C6"/>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EE72C6"/>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EE72C6"/>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EE72C6"/>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EE72C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E72C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E72C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E72C6"/>
    <w:rPr>
      <w:rFonts w:eastAsiaTheme="majorEastAsia" w:cstheme="majorBidi"/>
      <w:color w:val="272727" w:themeColor="text1" w:themeTint="D8"/>
    </w:rPr>
  </w:style>
  <w:style w:type="paragraph" w:styleId="Ttulo">
    <w:name w:val="Title"/>
    <w:basedOn w:val="Normal"/>
    <w:next w:val="Normal"/>
    <w:link w:val="TtuloCar"/>
    <w:uiPriority w:val="10"/>
    <w:qFormat/>
    <w:rsid w:val="00EE72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E72C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E72C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E72C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E72C6"/>
    <w:pPr>
      <w:spacing w:before="160"/>
      <w:jc w:val="center"/>
    </w:pPr>
    <w:rPr>
      <w:i/>
      <w:iCs/>
      <w:color w:val="404040" w:themeColor="text1" w:themeTint="BF"/>
    </w:rPr>
  </w:style>
  <w:style w:type="character" w:customStyle="1" w:styleId="CitaCar">
    <w:name w:val="Cita Car"/>
    <w:basedOn w:val="Fuentedeprrafopredeter"/>
    <w:link w:val="Cita"/>
    <w:uiPriority w:val="29"/>
    <w:rsid w:val="00EE72C6"/>
    <w:rPr>
      <w:i/>
      <w:iCs/>
      <w:color w:val="404040" w:themeColor="text1" w:themeTint="BF"/>
    </w:rPr>
  </w:style>
  <w:style w:type="paragraph" w:styleId="Prrafodelista">
    <w:name w:val="List Paragraph"/>
    <w:basedOn w:val="Normal"/>
    <w:uiPriority w:val="34"/>
    <w:qFormat/>
    <w:rsid w:val="00EE72C6"/>
    <w:pPr>
      <w:ind w:left="720"/>
      <w:contextualSpacing/>
    </w:pPr>
  </w:style>
  <w:style w:type="character" w:styleId="nfasisintenso">
    <w:name w:val="Intense Emphasis"/>
    <w:basedOn w:val="Fuentedeprrafopredeter"/>
    <w:uiPriority w:val="21"/>
    <w:qFormat/>
    <w:rsid w:val="00EE72C6"/>
    <w:rPr>
      <w:i/>
      <w:iCs/>
      <w:color w:val="2F5496" w:themeColor="accent1" w:themeShade="BF"/>
    </w:rPr>
  </w:style>
  <w:style w:type="paragraph" w:styleId="Citadestacada">
    <w:name w:val="Intense Quote"/>
    <w:basedOn w:val="Normal"/>
    <w:next w:val="Normal"/>
    <w:link w:val="CitadestacadaCar"/>
    <w:uiPriority w:val="30"/>
    <w:qFormat/>
    <w:rsid w:val="00EE72C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EE72C6"/>
    <w:rPr>
      <w:i/>
      <w:iCs/>
      <w:color w:val="2F5496" w:themeColor="accent1" w:themeShade="BF"/>
    </w:rPr>
  </w:style>
  <w:style w:type="character" w:styleId="Referenciaintensa">
    <w:name w:val="Intense Reference"/>
    <w:basedOn w:val="Fuentedeprrafopredeter"/>
    <w:uiPriority w:val="32"/>
    <w:qFormat/>
    <w:rsid w:val="00EE72C6"/>
    <w:rPr>
      <w:b/>
      <w:bCs/>
      <w:smallCaps/>
      <w:color w:val="2F5496" w:themeColor="accent1" w:themeShade="BF"/>
      <w:spacing w:val="5"/>
    </w:rPr>
  </w:style>
  <w:style w:type="character" w:styleId="Hipervnculo">
    <w:name w:val="Hyperlink"/>
    <w:basedOn w:val="Fuentedeprrafopredeter"/>
    <w:uiPriority w:val="99"/>
    <w:unhideWhenUsed/>
    <w:rsid w:val="00146C68"/>
    <w:rPr>
      <w:color w:val="0563C1" w:themeColor="hyperlink"/>
      <w:u w:val="single"/>
    </w:rPr>
  </w:style>
  <w:style w:type="character" w:styleId="Mencinsinresolver">
    <w:name w:val="Unresolved Mention"/>
    <w:basedOn w:val="Fuentedeprrafopredeter"/>
    <w:uiPriority w:val="99"/>
    <w:semiHidden/>
    <w:unhideWhenUsed/>
    <w:rsid w:val="00146C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galvan@ucf.edu.cu" TargetMode="External"/><Relationship Id="rId4" Type="http://schemas.openxmlformats.org/officeDocument/2006/relationships/hyperlink" Target="mailto:maylipp87@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2992</Words>
  <Characters>16456</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Damarys DHC. Hernandez Castillo</dc:creator>
  <cp:keywords/>
  <dc:description/>
  <cp:lastModifiedBy>Damarys DHC. Hernandez Castillo</cp:lastModifiedBy>
  <cp:revision>2</cp:revision>
  <dcterms:created xsi:type="dcterms:W3CDTF">2026-09-24T14:05:00Z</dcterms:created>
  <dcterms:modified xsi:type="dcterms:W3CDTF">2026-09-24T14:05:00Z</dcterms:modified>
</cp:coreProperties>
</file>