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1CA" w:rsidRDefault="003A11CA" w:rsidP="00631937">
      <w:pPr>
        <w:spacing w:after="0" w:line="360" w:lineRule="auto"/>
        <w:jc w:val="center"/>
        <w:rPr>
          <w:rFonts w:ascii="Arial" w:hAnsi="Arial" w:cs="Arial"/>
          <w:b/>
          <w:sz w:val="24"/>
          <w:lang w:val="yo-NG"/>
        </w:rPr>
      </w:pPr>
      <w:r w:rsidRPr="00631937">
        <w:rPr>
          <w:rFonts w:ascii="Arial" w:hAnsi="Arial" w:cs="Arial"/>
          <w:b/>
          <w:sz w:val="24"/>
          <w:lang w:val="yo-NG"/>
        </w:rPr>
        <w:t>VI</w:t>
      </w:r>
      <w:r w:rsidR="00631937" w:rsidRPr="00631937">
        <w:rPr>
          <w:rFonts w:ascii="Arial" w:hAnsi="Arial" w:cs="Arial"/>
          <w:b/>
          <w:sz w:val="24"/>
          <w:lang w:val="yo-NG"/>
        </w:rPr>
        <w:t xml:space="preserve"> TALLER INTERNACIONAL DE GESTIÓN EMPRESARIAL Y DESARROLLO LOCAL</w:t>
      </w:r>
    </w:p>
    <w:p w:rsidR="00631937" w:rsidRDefault="00631937" w:rsidP="00631937">
      <w:pPr>
        <w:spacing w:after="0" w:line="360" w:lineRule="auto"/>
        <w:jc w:val="center"/>
        <w:rPr>
          <w:rFonts w:ascii="Arial" w:hAnsi="Arial" w:cs="Arial"/>
          <w:b/>
          <w:sz w:val="24"/>
          <w:lang w:val="es-MX"/>
        </w:rPr>
      </w:pPr>
      <w:r w:rsidRPr="00631937">
        <w:rPr>
          <w:rFonts w:ascii="Arial" w:hAnsi="Arial" w:cs="Arial"/>
          <w:b/>
          <w:sz w:val="24"/>
          <w:lang w:val="es-MX"/>
        </w:rPr>
        <w:t>Universidad de Cienfuegos “Carlos Rafael Rodríguez”</w:t>
      </w:r>
    </w:p>
    <w:p w:rsidR="00631937" w:rsidRPr="00631937" w:rsidRDefault="00631937" w:rsidP="00631937">
      <w:pPr>
        <w:spacing w:after="0" w:line="360" w:lineRule="auto"/>
        <w:jc w:val="both"/>
        <w:rPr>
          <w:rFonts w:ascii="Arial" w:hAnsi="Arial" w:cs="Arial"/>
          <w:b/>
          <w:sz w:val="24"/>
          <w:szCs w:val="24"/>
          <w:lang w:val="es-MX"/>
        </w:rPr>
      </w:pPr>
    </w:p>
    <w:p w:rsidR="001834E6" w:rsidRPr="00631937" w:rsidRDefault="00631937" w:rsidP="00631937">
      <w:pPr>
        <w:spacing w:after="0" w:line="360" w:lineRule="auto"/>
        <w:jc w:val="both"/>
        <w:rPr>
          <w:rFonts w:ascii="Arial" w:hAnsi="Arial" w:cs="Arial"/>
          <w:sz w:val="24"/>
          <w:szCs w:val="24"/>
          <w:lang w:val="yo-NG"/>
        </w:rPr>
      </w:pPr>
      <w:r w:rsidRPr="00631937">
        <w:rPr>
          <w:rFonts w:ascii="Arial" w:hAnsi="Arial" w:cs="Arial"/>
          <w:b/>
          <w:sz w:val="24"/>
          <w:szCs w:val="24"/>
          <w:lang w:val="yo-NG"/>
        </w:rPr>
        <w:t>Título</w:t>
      </w:r>
      <w:r w:rsidRPr="00631937">
        <w:rPr>
          <w:rFonts w:ascii="Arial" w:hAnsi="Arial" w:cs="Arial"/>
          <w:b/>
          <w:sz w:val="24"/>
          <w:szCs w:val="24"/>
          <w:lang w:val="es-MX"/>
        </w:rPr>
        <w:t>:</w:t>
      </w:r>
      <w:r w:rsidRPr="00631937">
        <w:rPr>
          <w:rFonts w:ascii="Arial" w:hAnsi="Arial" w:cs="Arial"/>
          <w:sz w:val="24"/>
          <w:szCs w:val="24"/>
          <w:lang w:val="yo-NG"/>
        </w:rPr>
        <w:t xml:space="preserve"> Intervención de Ingeniería Industrial para la mejora ergonómica y organizacioal de un proceso productivo</w:t>
      </w:r>
      <w:r w:rsidRPr="00631937">
        <w:rPr>
          <w:rFonts w:ascii="Arial" w:hAnsi="Arial" w:cs="Arial"/>
          <w:b/>
          <w:sz w:val="24"/>
          <w:szCs w:val="24"/>
          <w:lang w:val="es-MX"/>
        </w:rPr>
        <w:t>:</w:t>
      </w:r>
      <w:r w:rsidRPr="00631937">
        <w:rPr>
          <w:rFonts w:ascii="Arial" w:hAnsi="Arial" w:cs="Arial"/>
          <w:sz w:val="24"/>
          <w:szCs w:val="24"/>
          <w:lang w:val="yo-NG"/>
        </w:rPr>
        <w:t xml:space="preserve"> estudio de caso en una empresa ronera de Cienfuegos.</w:t>
      </w:r>
    </w:p>
    <w:p w:rsidR="001834E6" w:rsidRDefault="002B4131" w:rsidP="005A4CF5">
      <w:pPr>
        <w:spacing w:after="0" w:line="360" w:lineRule="auto"/>
        <w:jc w:val="both"/>
        <w:rPr>
          <w:rFonts w:ascii="Arial" w:hAnsi="Arial" w:cs="Arial"/>
          <w:sz w:val="24"/>
          <w:szCs w:val="24"/>
          <w:lang w:val="yo-NG"/>
        </w:rPr>
      </w:pPr>
      <w:r w:rsidRPr="00631937">
        <w:rPr>
          <w:rFonts w:ascii="Arial" w:hAnsi="Arial" w:cs="Arial"/>
          <w:b/>
          <w:sz w:val="24"/>
          <w:szCs w:val="24"/>
          <w:lang w:val="es-MX"/>
        </w:rPr>
        <w:t>Eje temático:</w:t>
      </w:r>
      <w:r w:rsidRPr="00CD0EA6">
        <w:rPr>
          <w:rFonts w:ascii="Arial" w:hAnsi="Arial" w:cs="Arial"/>
          <w:sz w:val="24"/>
          <w:szCs w:val="24"/>
          <w:lang w:val="es-MX"/>
        </w:rPr>
        <w:t xml:space="preserve"> Gestión empresarial, desarrollo local y sostenibilidad</w:t>
      </w:r>
      <w:r w:rsidR="00631937">
        <w:rPr>
          <w:rFonts w:ascii="Arial" w:hAnsi="Arial" w:cs="Arial"/>
          <w:sz w:val="24"/>
          <w:szCs w:val="24"/>
          <w:lang w:val="yo-NG"/>
        </w:rPr>
        <w:t>.</w:t>
      </w:r>
    </w:p>
    <w:p w:rsidR="00631937" w:rsidRPr="00631937" w:rsidRDefault="00631937" w:rsidP="00631937">
      <w:pPr>
        <w:spacing w:after="0" w:line="360" w:lineRule="auto"/>
        <w:jc w:val="both"/>
        <w:rPr>
          <w:rFonts w:ascii="Arial" w:hAnsi="Arial" w:cs="Arial"/>
          <w:sz w:val="24"/>
          <w:szCs w:val="24"/>
          <w:lang w:val="yo-NG"/>
        </w:rPr>
      </w:pPr>
      <w:r w:rsidRPr="00631937">
        <w:rPr>
          <w:rFonts w:ascii="Arial" w:hAnsi="Arial" w:cs="Arial"/>
          <w:b/>
          <w:sz w:val="24"/>
          <w:szCs w:val="24"/>
          <w:lang w:val="yo-NG"/>
        </w:rPr>
        <w:t>Autora</w:t>
      </w:r>
      <w:r w:rsidRPr="00631937">
        <w:rPr>
          <w:rFonts w:ascii="Arial" w:hAnsi="Arial" w:cs="Arial"/>
          <w:b/>
          <w:sz w:val="24"/>
          <w:szCs w:val="24"/>
          <w:lang w:val="es-MX"/>
        </w:rPr>
        <w:t>:</w:t>
      </w:r>
      <w:r w:rsidRPr="00631937">
        <w:rPr>
          <w:rFonts w:ascii="Arial" w:hAnsi="Arial" w:cs="Arial"/>
          <w:sz w:val="24"/>
          <w:szCs w:val="24"/>
          <w:lang w:val="yo-NG"/>
        </w:rPr>
        <w:t xml:space="preserve"> </w:t>
      </w:r>
      <w:r w:rsidRPr="00631937">
        <w:rPr>
          <w:rFonts w:ascii="Arial" w:hAnsi="Arial" w:cs="Arial"/>
          <w:sz w:val="24"/>
          <w:szCs w:val="24"/>
          <w:lang w:val="es-MX"/>
        </w:rPr>
        <w:t>Ing. Ariagna Erlinda Rodríguez Tovar</w:t>
      </w:r>
      <w:r>
        <w:rPr>
          <w:rFonts w:ascii="Arial" w:hAnsi="Arial" w:cs="Arial"/>
          <w:sz w:val="24"/>
          <w:szCs w:val="24"/>
          <w:lang w:val="yo-NG"/>
        </w:rPr>
        <w:t xml:space="preserve">. Universidad de Cienfuegos </w:t>
      </w:r>
      <w:r w:rsidRPr="00631937">
        <w:rPr>
          <w:rFonts w:ascii="Arial" w:hAnsi="Arial" w:cs="Arial"/>
          <w:sz w:val="24"/>
          <w:szCs w:val="24"/>
          <w:lang w:val="es-MX"/>
        </w:rPr>
        <w:t>“Carlos Rafael Rodríguez”</w:t>
      </w:r>
      <w:r>
        <w:rPr>
          <w:rFonts w:ascii="Arial" w:hAnsi="Arial" w:cs="Arial"/>
          <w:sz w:val="24"/>
          <w:szCs w:val="24"/>
          <w:lang w:val="yo-NG"/>
        </w:rPr>
        <w:t xml:space="preserve">. Cienfuegos, Cuba. </w:t>
      </w:r>
      <w:hyperlink r:id="rId8" w:history="1">
        <w:r w:rsidRPr="00950953">
          <w:rPr>
            <w:rStyle w:val="Hyperlink"/>
            <w:rFonts w:ascii="Arial" w:hAnsi="Arial" w:cs="Arial"/>
            <w:sz w:val="24"/>
            <w:szCs w:val="24"/>
            <w:lang w:val="yo-NG"/>
          </w:rPr>
          <w:t>aertovar@ucf.edu.cu</w:t>
        </w:r>
      </w:hyperlink>
      <w:r>
        <w:rPr>
          <w:rFonts w:ascii="Arial" w:hAnsi="Arial" w:cs="Arial"/>
          <w:sz w:val="24"/>
          <w:szCs w:val="24"/>
          <w:lang w:val="yo-NG"/>
        </w:rPr>
        <w:t>. +5354354056</w:t>
      </w:r>
    </w:p>
    <w:p w:rsidR="00631937" w:rsidRPr="00631937" w:rsidRDefault="00631937" w:rsidP="00631937">
      <w:pPr>
        <w:spacing w:after="0" w:line="360" w:lineRule="auto"/>
        <w:jc w:val="both"/>
        <w:rPr>
          <w:rFonts w:ascii="Arial" w:hAnsi="Arial" w:cs="Arial"/>
          <w:sz w:val="24"/>
          <w:szCs w:val="24"/>
          <w:lang w:val="es-MX"/>
        </w:rPr>
      </w:pPr>
    </w:p>
    <w:p w:rsidR="001834E6" w:rsidRPr="005A4CF5" w:rsidRDefault="002B4131" w:rsidP="005A4CF5">
      <w:pPr>
        <w:pStyle w:val="Heading1"/>
        <w:spacing w:before="0" w:line="360" w:lineRule="auto"/>
        <w:jc w:val="both"/>
        <w:rPr>
          <w:rFonts w:ascii="Arial" w:hAnsi="Arial" w:cs="Arial"/>
          <w:color w:val="auto"/>
          <w:sz w:val="24"/>
          <w:szCs w:val="24"/>
          <w:lang w:val="es-MX"/>
        </w:rPr>
      </w:pPr>
      <w:r w:rsidRPr="005A4CF5">
        <w:rPr>
          <w:rFonts w:ascii="Arial" w:hAnsi="Arial" w:cs="Arial"/>
          <w:color w:val="auto"/>
          <w:sz w:val="24"/>
          <w:szCs w:val="24"/>
          <w:lang w:val="es-MX"/>
        </w:rPr>
        <w:t>Resumen</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La gestión de los procesos productivos demanda soluciones que articulen el desempeño organizacional con las condiciones en que se desarrolla el trabajo. El objetivo de la investigación fue desarrollar una intervención de Ingeniería Industrial para mejorar las condiciones ergonómicas y la organización del trabajo en el área de llenado de pomos PET de la sección discontinua de la UEB Ron de Cienfuegos, contribuyendo al desempeño y sostenibilidad del proceso productivo. Se realizó un estudio de caso mediante el diagrama bimanual, diagrama hombre-máquina, lista de chequeo, principios de economía de movimientos, método OWAS, análisis de la organización espacial y criterios antropométricos de la población laboral cubana. El diagnóstico identificó posturas forzadas, torsiones del tronco, sobrecarga física, desequilibrios en la ejecución de movimientos y tiempos de espera asociados a la dependencia entre operaciones. La evaluación OWAS clasificó el puesto de llenador en categoría de acción 3 y el del transportista en categoría 4. A partir de estos resultados se diseñaron mejoras en los puestos de trabajo y se estableció un nuevo método de llenado por tandas de 10 pomos, con una mesa de tijera auxiliar de 96 cm y una secuencia de movimientos más equilibrada entre ambas manos. La intervención propuesta integra mejoras ergonómicas, espaciales y organizativas orientadas a humanizar el trabajo, reducir factores de riesgo y movimientos innecesarios y favorecer la continuidad y eficiencia del proceso. Su aplicación constituye una alternativa metodológica transferible a otros procesos productivos con características similares.</w:t>
      </w:r>
    </w:p>
    <w:p w:rsidR="001834E6" w:rsidRPr="00CD0EA6" w:rsidRDefault="002B4131" w:rsidP="005A4CF5">
      <w:pPr>
        <w:spacing w:after="0" w:line="360" w:lineRule="auto"/>
        <w:jc w:val="both"/>
        <w:rPr>
          <w:rFonts w:ascii="Arial" w:hAnsi="Arial" w:cs="Arial"/>
          <w:sz w:val="24"/>
          <w:szCs w:val="24"/>
          <w:lang w:val="es-MX"/>
        </w:rPr>
      </w:pPr>
      <w:r w:rsidRPr="006B20A3">
        <w:rPr>
          <w:rFonts w:ascii="Arial" w:hAnsi="Arial" w:cs="Arial"/>
          <w:b/>
          <w:sz w:val="24"/>
          <w:szCs w:val="24"/>
          <w:lang w:val="es-MX"/>
        </w:rPr>
        <w:lastRenderedPageBreak/>
        <w:t>Palabras clave:</w:t>
      </w:r>
      <w:r w:rsidRPr="00CD0EA6">
        <w:rPr>
          <w:rFonts w:ascii="Arial" w:hAnsi="Arial" w:cs="Arial"/>
          <w:sz w:val="24"/>
          <w:szCs w:val="24"/>
          <w:lang w:val="es-MX"/>
        </w:rPr>
        <w:t xml:space="preserve"> Ingeniería Industrial; ergonomía; organización del trabajo; procesos productivos; sostenibilidad.</w:t>
      </w:r>
    </w:p>
    <w:p w:rsidR="001834E6" w:rsidRPr="005A4CF5" w:rsidRDefault="002B4131" w:rsidP="005A4CF5">
      <w:pPr>
        <w:pStyle w:val="Heading1"/>
        <w:spacing w:before="0" w:line="360" w:lineRule="auto"/>
        <w:jc w:val="both"/>
        <w:rPr>
          <w:rFonts w:ascii="Arial" w:hAnsi="Arial" w:cs="Arial"/>
          <w:color w:val="auto"/>
          <w:sz w:val="24"/>
          <w:szCs w:val="24"/>
          <w:lang w:val="es-MX"/>
        </w:rPr>
      </w:pPr>
      <w:r w:rsidRPr="005A4CF5">
        <w:rPr>
          <w:rFonts w:ascii="Arial" w:hAnsi="Arial" w:cs="Arial"/>
          <w:color w:val="auto"/>
          <w:sz w:val="24"/>
          <w:szCs w:val="24"/>
          <w:lang w:val="es-MX"/>
        </w:rPr>
        <w:t>Introducción</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La Ingeniería Industrial aborda los sistemas productivos desde la relación entre personas, métodos, recursos, tecnología y organización. En este marco, la mejora de un proceso no se limita a elevar su capacidad técnica: también requiere examinar cómo se realiza el trabajo, qué exigencias impone al trabajador y cómo se coordinan las operaciones. La ergonomía aporta una perspectiva particularmente útil porque considera de manera conjunta las características de las personas, las tareas, los medios de trabajo y la organización. La Organización Internacional del Trabajo (OIT) y la International Ergonomics Association (IEA) plantean que los factores humanos y la ergonomía deben integrarse al diseño y gestión de los sistemas de trabajo para favorecer la seguridad, la salud, el bienestar y el desempeño organizacional sostenible (ILO &amp; IEA, 2021).</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Una condición ergonómica inadecuada no constituye únicamente un problema de salud ocupacional. Una altura de trabajo incorrecta, una ubicación deficiente de materiales, una secuencia de movimientos poco equilibrada o una distribución desigual de las tareas pueden incrementar el esfuerzo físico y, al mismo tiempo, generar desplazamientos innecesarios, esperas y dependencia entre operaciones. El análisis del trabajo permite encontrar oportunidades de mejora que vinculen la dimensión humana con la organización del proceso.</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La investigación se desarrolló en la UEB Ron de Cienfuegos, perteneciente a la Empresa de Bebidas y Refrescos, específicamente en la sección discontinua del proceso de fabricación de ron y, dentro de ella, en el área de llenado de pomos PET. El diagnóstico realizado en la tesis de grado que sustenta este trabajo identificó flexiones y torsiones repetitivas del tronco, alturas de mesas no estandarizadas, ubicación inadecuada de los envases, mobiliario poco adecuado en puestos sentados y manipulación manual de cargas durante el transporte. Estas condiciones se relacionaron con dificultades de coordinación y tiempos de espera entre los miembros de la brigada.</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 xml:space="preserve">El problema de investigación se formuló así: ¿Cómo afectan las variables ergonómicas de los puestos de trabajo en el proceso de fabricación de ron, la salud física de los trabajadores y su desempeño laboral? A partir de este problema se estableció como </w:t>
      </w:r>
      <w:r w:rsidRPr="00CD0EA6">
        <w:rPr>
          <w:rFonts w:ascii="Arial" w:hAnsi="Arial" w:cs="Arial"/>
          <w:sz w:val="24"/>
          <w:szCs w:val="24"/>
          <w:lang w:val="es-MX"/>
        </w:rPr>
        <w:lastRenderedPageBreak/>
        <w:t>objetivo general realizar una intervención ergonómica en el proceso de fabricación de ron para mejorar el diseño de los puestos de trabajo, de manera que contribuya a humanizar el trabajo y mejorar el desempeño laboral.</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Los objetivos específicos fueron: 1) diagnosticar las condiciones ergonómicas de los puestos de trabajo de la sección discontinua del proceso; 2) identificar las necesidades de mejora en términos de ergonomía física del trabajo; y 3) desarrollar un conjunto de acciones de mejora al diseño ergonómico de los puestos de trabajo.</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El interés de presentar los resultados desde un enfoque de Ingeniería Industrial radica en que la intervención no se restringe a la clasificación de posturas. El estudio integra el análisis del método, la coordinación de operaciones, la organización espacial, los principios de economía de movimientos y el diseño antropométrico de los puestos. De esta forma, la sostenibilidad se aborda desde la capacidad del sistema de trabajo para mantener condiciones humanas y organizativas compatibles con la continuidad del proceso y el desempeño de sus trabajadores, sin atribuir a la investigación efectos ambientales o económicos que no fueron medidos.</w:t>
      </w:r>
    </w:p>
    <w:p w:rsidR="001834E6" w:rsidRPr="005A4CF5" w:rsidRDefault="006B20A3" w:rsidP="005A4CF5">
      <w:pPr>
        <w:pStyle w:val="Heading1"/>
        <w:spacing w:before="0" w:line="360" w:lineRule="auto"/>
        <w:jc w:val="both"/>
        <w:rPr>
          <w:rFonts w:ascii="Arial" w:hAnsi="Arial" w:cs="Arial"/>
          <w:color w:val="auto"/>
          <w:sz w:val="22"/>
          <w:szCs w:val="24"/>
          <w:lang w:val="es-MX"/>
        </w:rPr>
      </w:pPr>
      <w:r w:rsidRPr="005A4CF5">
        <w:rPr>
          <w:rFonts w:ascii="Arial" w:hAnsi="Arial" w:cs="Arial"/>
          <w:color w:val="auto"/>
          <w:sz w:val="24"/>
          <w:szCs w:val="24"/>
          <w:lang w:val="es-MX"/>
        </w:rPr>
        <w:t>2.</w:t>
      </w:r>
      <w:r w:rsidR="005A4CF5">
        <w:rPr>
          <w:rFonts w:ascii="Arial" w:hAnsi="Arial" w:cs="Arial"/>
          <w:color w:val="auto"/>
          <w:sz w:val="24"/>
          <w:szCs w:val="24"/>
          <w:lang w:val="yo-NG"/>
        </w:rPr>
        <w:t xml:space="preserve"> </w:t>
      </w:r>
      <w:r w:rsidR="002B4131" w:rsidRPr="005A4CF5">
        <w:rPr>
          <w:rFonts w:ascii="Arial" w:hAnsi="Arial" w:cs="Arial"/>
          <w:color w:val="auto"/>
          <w:sz w:val="24"/>
          <w:szCs w:val="24"/>
          <w:lang w:val="es-MX"/>
        </w:rPr>
        <w:t>Materiales y métodos</w:t>
      </w:r>
    </w:p>
    <w:p w:rsidR="001834E6" w:rsidRPr="00631937" w:rsidRDefault="002B4131" w:rsidP="005A4CF5">
      <w:pPr>
        <w:pStyle w:val="Heading2"/>
        <w:spacing w:before="0" w:line="360" w:lineRule="auto"/>
        <w:jc w:val="both"/>
        <w:rPr>
          <w:rFonts w:ascii="Arial" w:hAnsi="Arial" w:cs="Arial"/>
          <w:color w:val="auto"/>
          <w:szCs w:val="24"/>
          <w:lang w:val="es-MX"/>
        </w:rPr>
      </w:pPr>
      <w:r w:rsidRPr="00631937">
        <w:rPr>
          <w:rFonts w:ascii="Arial" w:hAnsi="Arial" w:cs="Arial"/>
          <w:color w:val="auto"/>
          <w:szCs w:val="24"/>
          <w:lang w:val="es-MX"/>
        </w:rPr>
        <w:t>2.1. Tipo de estudio y escenario</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Se realizó una investigación aplicada mediante estudio de caso en el área de llenado de pomos PET de la sección discontinua de la UEB Ron de Cienfuegos. El análisis tomó como unidad de observación las actividades y posturas asociadas a los puestos que intervienen en el flujo de llenado, tapado, etiquetado, embalaje y transporte. La investigación combinó herramientas de estudio del trabajo con técnicas de evaluación ergonómica y criterios antropométricos utilizados en la tesis de grado.</w:t>
      </w:r>
    </w:p>
    <w:p w:rsidR="001834E6" w:rsidRPr="00631937" w:rsidRDefault="002B4131" w:rsidP="005A4CF5">
      <w:pPr>
        <w:pStyle w:val="Heading2"/>
        <w:spacing w:before="0" w:line="360" w:lineRule="auto"/>
        <w:jc w:val="both"/>
        <w:rPr>
          <w:rFonts w:ascii="Arial" w:hAnsi="Arial" w:cs="Arial"/>
          <w:color w:val="auto"/>
          <w:szCs w:val="24"/>
          <w:lang w:val="es-MX"/>
        </w:rPr>
      </w:pPr>
      <w:r w:rsidRPr="00631937">
        <w:rPr>
          <w:rFonts w:ascii="Arial" w:hAnsi="Arial" w:cs="Arial"/>
          <w:color w:val="auto"/>
          <w:szCs w:val="24"/>
          <w:lang w:val="es-MX"/>
        </w:rPr>
        <w:t>2.2. Procedimiento de investigación</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El procedimiento se desarrolló en cuatro momentos: diagnóstico del método y de la organización del trabajo; evaluación de las condiciones ergonómicas; identificación de necesidades de rediseño; y formulación de una propuesta integrada de mejora. Primero se caracterizó la secuencia de operaciones y la participación de los trabajadores. Después se analizaron los movimientos de ambas manos, la coordinación entre puestos y las posturas adoptadas. Finalmente, los resultados del diagnóstico se utilizaron para modificar la disposición física del puesto y establecer un nuevo método de llenado.</w:t>
      </w:r>
    </w:p>
    <w:p w:rsidR="001834E6" w:rsidRPr="00631937" w:rsidRDefault="002B4131" w:rsidP="005A4CF5">
      <w:pPr>
        <w:pStyle w:val="Heading2"/>
        <w:spacing w:before="0" w:line="360" w:lineRule="auto"/>
        <w:jc w:val="both"/>
        <w:rPr>
          <w:rFonts w:ascii="Arial" w:hAnsi="Arial" w:cs="Arial"/>
          <w:color w:val="auto"/>
          <w:szCs w:val="24"/>
          <w:lang w:val="es-MX"/>
        </w:rPr>
      </w:pPr>
      <w:r w:rsidRPr="00631937">
        <w:rPr>
          <w:rFonts w:ascii="Arial" w:hAnsi="Arial" w:cs="Arial"/>
          <w:color w:val="auto"/>
          <w:szCs w:val="24"/>
          <w:lang w:val="es-MX"/>
        </w:rPr>
        <w:lastRenderedPageBreak/>
        <w:t>2.3. Herramientas empleadas</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El diagrama bimanual se empleó para registrar la secuencia y frecuencia de las acciones de ambas manos del llenador. El diagrama de coordinación hombre-máquina permitió representar la relación temporal entre llenador, tapador, etiquetador y embalador, identificando momentos de actividad e inactividad. La lista de chequeo se utilizó para valorar la coordinación de las tareas y localizar demoras, posibilidades de combinación de actividades y oportunidades de simplificación.</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Los principios de economía de movimientos orientaron el análisis de desplazamientos, simetría, participación del tronco y posibilidades de eliminar o simplificar movimientos. Para la valoración de las posturas se aplicó el método OWAS, desarrollado como una técnica observacional para identificar y evaluar posturas de trabajo y apoyar el rediseño de métodos y puestos (Karhu et al., 1977; Karhu et al., 1981). El diseño de las estaciones se complementó con criterios antropométricos de la población laboral cubana utilizados en la investigación de base, considerando percentiles P5, P50 y P95 según la dimensión analizada.</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El análisis espacial examinó la ubicación de envases, mesas, zonas de trabajo y puntos de transferencia, con el propósito de relacionar la distribución física con las posturas y desplazamientos observados. La modificación del método se planteó a partir de los resultados del diagnóstico y no como una evaluación experimental posterior; por ello, las mejoras descritas deben distinguirse de resultados de implementación que no fueron medidos.</w:t>
      </w:r>
    </w:p>
    <w:p w:rsidR="001834E6" w:rsidRPr="005A4CF5" w:rsidRDefault="002B4131" w:rsidP="005A4CF5">
      <w:pPr>
        <w:pStyle w:val="Heading1"/>
        <w:spacing w:before="0" w:line="360" w:lineRule="auto"/>
        <w:jc w:val="both"/>
        <w:rPr>
          <w:rFonts w:ascii="Arial" w:hAnsi="Arial" w:cs="Arial"/>
          <w:color w:val="auto"/>
          <w:sz w:val="24"/>
          <w:szCs w:val="24"/>
          <w:lang w:val="es-MX"/>
        </w:rPr>
      </w:pPr>
      <w:r w:rsidRPr="005A4CF5">
        <w:rPr>
          <w:rFonts w:ascii="Arial" w:hAnsi="Arial" w:cs="Arial"/>
          <w:color w:val="auto"/>
          <w:sz w:val="24"/>
          <w:szCs w:val="24"/>
          <w:lang w:val="es-MX"/>
        </w:rPr>
        <w:t>3. Resultados y discusión</w:t>
      </w:r>
    </w:p>
    <w:p w:rsidR="001834E6" w:rsidRPr="005A4CF5" w:rsidRDefault="002B4131" w:rsidP="005A4CF5">
      <w:pPr>
        <w:pStyle w:val="Heading2"/>
        <w:spacing w:before="0" w:line="360" w:lineRule="auto"/>
        <w:jc w:val="both"/>
        <w:rPr>
          <w:rFonts w:ascii="Arial" w:hAnsi="Arial" w:cs="Arial"/>
          <w:color w:val="auto"/>
          <w:szCs w:val="24"/>
          <w:lang w:val="es-MX"/>
        </w:rPr>
      </w:pPr>
      <w:r w:rsidRPr="005A4CF5">
        <w:rPr>
          <w:rFonts w:ascii="Arial" w:hAnsi="Arial" w:cs="Arial"/>
          <w:color w:val="auto"/>
          <w:szCs w:val="24"/>
          <w:lang w:val="es-MX"/>
        </w:rPr>
        <w:t>3.1. Diagnóstico del método actual</w:t>
      </w:r>
    </w:p>
    <w:p w:rsidR="001834E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El proceso estudiado involucra, en la secuencia observada, las operaciones de llenado, tapado, etiquetado y embalaje. El llenador constituye el punto inicial de la cadena analizada. A partir de la salida de los primeros pomos se incorporan sucesivamente el tapador y el etiquetador, mientras que el embalador interviene cuando dispone de una cantidad suficiente de pomos etiquetados. Esta organización produce una dependencia temporal entre operaciones: el ritmo del llenador condiciona la disponibilidad de trabajo para los puestos posteriores.</w:t>
      </w:r>
    </w:p>
    <w:p w:rsidR="00CD0EA6" w:rsidRPr="00CD0EA6" w:rsidRDefault="00CD0EA6" w:rsidP="005A4CF5">
      <w:pPr>
        <w:spacing w:after="0" w:line="360" w:lineRule="auto"/>
        <w:jc w:val="center"/>
        <w:rPr>
          <w:rFonts w:ascii="Arial" w:hAnsi="Arial" w:cs="Arial"/>
          <w:sz w:val="24"/>
          <w:szCs w:val="24"/>
          <w:lang w:val="es-MX"/>
        </w:rPr>
      </w:pPr>
      <w:r w:rsidRPr="00CD0EA6">
        <w:rPr>
          <w:rFonts w:ascii="Arial" w:hAnsi="Arial" w:cs="Arial"/>
          <w:sz w:val="24"/>
          <w:szCs w:val="24"/>
          <w:lang w:val="es-MX"/>
        </w:rPr>
        <w:t xml:space="preserve">Tabla </w:t>
      </w:r>
      <w:r>
        <w:rPr>
          <w:rFonts w:ascii="Arial" w:hAnsi="Arial" w:cs="Arial"/>
          <w:sz w:val="24"/>
          <w:szCs w:val="24"/>
          <w:lang w:val="es-MX"/>
        </w:rPr>
        <w:t>1</w:t>
      </w:r>
      <w:r w:rsidRPr="00CD0EA6">
        <w:rPr>
          <w:rFonts w:ascii="Arial" w:hAnsi="Arial" w:cs="Arial"/>
          <w:sz w:val="24"/>
          <w:szCs w:val="24"/>
          <w:lang w:val="es-MX"/>
        </w:rPr>
        <w:t>.</w:t>
      </w:r>
      <w:r w:rsidRPr="00CD0EA6">
        <w:rPr>
          <w:rFonts w:ascii="Arial" w:hAnsi="Arial" w:cs="Arial"/>
          <w:color w:val="17365D"/>
          <w:sz w:val="24"/>
          <w:szCs w:val="24"/>
          <w:lang w:val="es-MX"/>
        </w:rPr>
        <w:t xml:space="preserve"> </w:t>
      </w:r>
      <w:r w:rsidRPr="00CD0EA6">
        <w:rPr>
          <w:rFonts w:ascii="Arial" w:hAnsi="Arial" w:cs="Arial"/>
          <w:sz w:val="24"/>
          <w:szCs w:val="24"/>
          <w:lang w:val="es-MX"/>
        </w:rPr>
        <w:t>Diagnóstico del método actual</w:t>
      </w:r>
      <w:r w:rsidR="006B20A3">
        <w:rPr>
          <w:rFonts w:ascii="Arial" w:hAnsi="Arial" w:cs="Arial"/>
          <w:sz w:val="24"/>
          <w:szCs w:val="24"/>
          <w:lang w:val="es-MX"/>
        </w:rPr>
        <w:t>.</w:t>
      </w:r>
    </w:p>
    <w:tbl>
      <w:tblPr>
        <w:tblStyle w:val="TableGrid"/>
        <w:tblW w:w="0" w:type="auto"/>
        <w:jc w:val="center"/>
        <w:tblLayout w:type="fixed"/>
        <w:tblLook w:val="04A0" w:firstRow="1" w:lastRow="0" w:firstColumn="1" w:lastColumn="0" w:noHBand="0" w:noVBand="1"/>
      </w:tblPr>
      <w:tblGrid>
        <w:gridCol w:w="2268"/>
        <w:gridCol w:w="2268"/>
        <w:gridCol w:w="2268"/>
        <w:gridCol w:w="2268"/>
      </w:tblGrid>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lastRenderedPageBreak/>
              <w:t>Puesto</w:t>
            </w:r>
          </w:p>
        </w:tc>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Operación principal</w:t>
            </w:r>
          </w:p>
        </w:tc>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Relación con el flujo</w:t>
            </w:r>
          </w:p>
        </w:tc>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Situación observada</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Llenador</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Llenado de pomos PET</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Punto de inicio del ciclo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Actividad continua con movimientos de alcance, traslado y colocación de envases; se observaron flexiones y torsiones del tronco.</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Tapador</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Tapado de pomos</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Depende de la salida del llenador</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Presenta períodos de espera mientras se generan pomos disponibles.</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Etiquetador</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Etiquetado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Depende de la salida del tapado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Su actividad se incorpora de forma sucesiva y puede presentar inactividad.</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Embalador</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Agrupación y embalaje</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Depende de la acumulación de pomos etiquetados</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Presenta períodos de espera hasta disponer de una cantidad suficiente para embalar.</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Transportista</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Traslado manual de pomos</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Conecta operaciones posteriores</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Manipula cuatro pomos y realiza desplazamientos caminando; se identificó una condición de alta exigencia según OWAS.</w:t>
            </w:r>
          </w:p>
        </w:tc>
      </w:tr>
    </w:tbl>
    <w:p w:rsidR="001834E6" w:rsidRPr="00CD0EA6" w:rsidRDefault="002B4131" w:rsidP="00CD0EA6">
      <w:pPr>
        <w:spacing w:before="40" w:after="160"/>
        <w:jc w:val="center"/>
        <w:rPr>
          <w:rFonts w:ascii="Arial" w:hAnsi="Arial" w:cs="Arial"/>
          <w:lang w:val="es-MX"/>
        </w:rPr>
      </w:pPr>
      <w:r w:rsidRPr="00CD0EA6">
        <w:rPr>
          <w:rFonts w:ascii="Arial" w:hAnsi="Arial" w:cs="Arial"/>
          <w:sz w:val="24"/>
          <w:lang w:val="es-MX"/>
        </w:rPr>
        <w:t>Fuente: Elaboración propia a partir de los resultados de la investigación</w:t>
      </w:r>
      <w:r w:rsidRPr="00CD0EA6">
        <w:rPr>
          <w:rFonts w:ascii="Arial" w:hAnsi="Arial" w:cs="Arial"/>
          <w:sz w:val="18"/>
          <w:lang w:val="es-MX"/>
        </w:rPr>
        <w:t>.</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 xml:space="preserve">El diagrama bimanual del método actual tomó como unidad de análisis una caja de ron. En este ciclo se registraron 32 actividades o movimientos para cada mano. La secuencia muestra desplazamientos hacia el depósito de pomos, toma de envases, traslado hacia la máquina de llenado, colocación bajo las llaves y acciones posteriores para retirar los pomos. Además de la cantidad de movimientos, el interés del análisis estuvo en su </w:t>
      </w:r>
      <w:r w:rsidRPr="00CD0EA6">
        <w:rPr>
          <w:rFonts w:ascii="Arial" w:hAnsi="Arial" w:cs="Arial"/>
          <w:sz w:val="24"/>
          <w:szCs w:val="24"/>
          <w:lang w:val="es-MX"/>
        </w:rPr>
        <w:lastRenderedPageBreak/>
        <w:t>distribución: se identificaron participación importante del tronco, giros para acceder a los envases y momentos de inactividad de una mano durante determinadas fases.</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El valor de 32 movimientos por mano no debe interpretarse aisladamente como una medida de productividad. Su utilidad en el diagnóstico consiste en hacer visible la estructura del método y los desequilibrios existentes. La propuesta cambia la unidad de análisis a una tanda de 10 pomos; por ello, los 32 movimientos del método actual y los 25 del método propuesto no constituyen magnitudes directamente comparables para calcular una reducción porcentual.</w:t>
      </w:r>
    </w:p>
    <w:p w:rsidR="001834E6" w:rsidRPr="005A4CF5" w:rsidRDefault="002B4131" w:rsidP="005A4CF5">
      <w:pPr>
        <w:pStyle w:val="Heading2"/>
        <w:spacing w:before="0" w:line="360" w:lineRule="auto"/>
        <w:jc w:val="both"/>
        <w:rPr>
          <w:rFonts w:ascii="Arial" w:hAnsi="Arial" w:cs="Arial"/>
          <w:color w:val="auto"/>
          <w:szCs w:val="24"/>
          <w:lang w:val="es-MX"/>
        </w:rPr>
      </w:pPr>
      <w:r w:rsidRPr="005A4CF5">
        <w:rPr>
          <w:rFonts w:ascii="Arial" w:hAnsi="Arial" w:cs="Arial"/>
          <w:color w:val="auto"/>
          <w:szCs w:val="24"/>
          <w:lang w:val="es-MX"/>
        </w:rPr>
        <w:t>3.2. Coordinación entre operaciones y organización del trabajo</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El diagrama de coordinación mostró una secuencia escalonada. Mientras el llenador inicia el ciclo con los primeros pomos, los restantes puestos permanecen inactivos. Después, el tapador comienza a trabajar con los primeros envases mientras el llenador continúa con pares sucesivos. El etiquetador entra posteriormente y el embalador acumula períodos de espera hasta disponer de un grupo suficiente de pomos. Esta relación no implica que los trabajadores permanezcan inactivos durante todo el ciclo, sino que evidencia momentos en los cuales la disponibilidad de producto intermedio limita la actividad de un puesto.</w:t>
      </w:r>
    </w:p>
    <w:p w:rsidR="001834E6" w:rsidRPr="00CD0EA6" w:rsidRDefault="002B4131" w:rsidP="005A4CF5">
      <w:pPr>
        <w:spacing w:after="0" w:line="360" w:lineRule="auto"/>
        <w:jc w:val="both"/>
        <w:rPr>
          <w:rFonts w:ascii="Arial" w:hAnsi="Arial" w:cs="Arial"/>
          <w:sz w:val="24"/>
          <w:szCs w:val="24"/>
          <w:lang w:val="es-MX"/>
        </w:rPr>
      </w:pPr>
      <w:r w:rsidRPr="00CD0EA6">
        <w:rPr>
          <w:rFonts w:ascii="Arial" w:hAnsi="Arial" w:cs="Arial"/>
          <w:sz w:val="24"/>
          <w:szCs w:val="24"/>
          <w:lang w:val="es-MX"/>
        </w:rPr>
        <w:t>Desde el punto de vista de organización del trabajo, el problema identificado es el desbalance entre las actividades y la dependencia respecto al ritmo del llenador. La lista de chequeo y el análisis de economía de movimientos permitieron plantear alternativas para reducir demoras, combinar determinadas tareas cuando el ritmo lo permita y utilizar los tiempos de espera en actividades auxiliares. La tesis también plantea la posibilidad de que un mismo operario asuma más de una tarea cuando la organización concreta del proceso lo permita, con el objetivo de aumentar la simultaneidad y disminuir tiempos muertos.</w:t>
      </w:r>
    </w:p>
    <w:p w:rsidR="001834E6" w:rsidRPr="005A4CF5" w:rsidRDefault="002B4131" w:rsidP="005A4CF5">
      <w:pPr>
        <w:pStyle w:val="Heading2"/>
        <w:spacing w:before="0"/>
        <w:rPr>
          <w:rFonts w:ascii="Arial" w:hAnsi="Arial" w:cs="Arial"/>
          <w:color w:val="auto"/>
        </w:rPr>
      </w:pPr>
      <w:r w:rsidRPr="005A4CF5">
        <w:rPr>
          <w:rFonts w:ascii="Arial" w:hAnsi="Arial" w:cs="Arial"/>
          <w:color w:val="auto"/>
        </w:rPr>
        <w:t>3.3. Evaluación ergonómica mediante OWAS</w:t>
      </w:r>
    </w:p>
    <w:p w:rsidR="006B20A3" w:rsidRPr="002B4131" w:rsidRDefault="006B20A3" w:rsidP="005A4CF5">
      <w:pPr>
        <w:spacing w:after="0" w:line="360" w:lineRule="auto"/>
        <w:jc w:val="both"/>
        <w:rPr>
          <w:rFonts w:ascii="Arial" w:hAnsi="Arial" w:cs="Arial"/>
          <w:sz w:val="24"/>
          <w:szCs w:val="24"/>
          <w:lang w:val="yo-NG"/>
        </w:rPr>
      </w:pPr>
      <w:r w:rsidRPr="002B4131">
        <w:rPr>
          <w:rFonts w:ascii="Arial" w:hAnsi="Arial" w:cs="Arial"/>
          <w:sz w:val="24"/>
          <w:szCs w:val="24"/>
          <w:lang w:val="es-MX"/>
        </w:rPr>
        <w:t>Para profundizar en la evaluación de las posturas adoptadas durante las operaciones, se aplicó el m</w:t>
      </w:r>
      <w:r w:rsidRPr="002B4131">
        <w:rPr>
          <w:rFonts w:ascii="Arial" w:hAnsi="Arial" w:cs="Arial"/>
          <w:sz w:val="24"/>
          <w:szCs w:val="24"/>
          <w:lang w:val="yo-NG"/>
        </w:rPr>
        <w:t xml:space="preserve">étodo OWAS a los principales puestos identificados como críticos. Los resultados permitieron determinar el nivel de riesgo postural y estblecer prioridades de </w:t>
      </w:r>
      <w:r w:rsidR="002B4131" w:rsidRPr="002B4131">
        <w:rPr>
          <w:rFonts w:ascii="Arial" w:hAnsi="Arial" w:cs="Arial"/>
          <w:sz w:val="24"/>
          <w:szCs w:val="24"/>
          <w:lang w:val="yo-NG"/>
        </w:rPr>
        <w:t>intervención n función de las condiciones observadas</w:t>
      </w:r>
    </w:p>
    <w:p w:rsidR="00CD0EA6" w:rsidRPr="00CD0EA6" w:rsidRDefault="00CD0EA6" w:rsidP="005A4CF5">
      <w:pPr>
        <w:spacing w:after="0"/>
        <w:jc w:val="center"/>
        <w:rPr>
          <w:rFonts w:ascii="Arial" w:hAnsi="Arial" w:cs="Arial"/>
          <w:sz w:val="24"/>
          <w:szCs w:val="24"/>
          <w:lang w:val="es-MX"/>
        </w:rPr>
      </w:pPr>
      <w:r w:rsidRPr="00CD0EA6">
        <w:rPr>
          <w:rFonts w:ascii="Arial" w:hAnsi="Arial" w:cs="Arial"/>
          <w:sz w:val="24"/>
          <w:szCs w:val="24"/>
          <w:lang w:val="es-MX"/>
        </w:rPr>
        <w:t xml:space="preserve">Tabla </w:t>
      </w:r>
      <w:r>
        <w:rPr>
          <w:rFonts w:ascii="Arial" w:hAnsi="Arial" w:cs="Arial"/>
          <w:sz w:val="24"/>
          <w:szCs w:val="24"/>
          <w:lang w:val="es-MX"/>
        </w:rPr>
        <w:t>2</w:t>
      </w:r>
      <w:r w:rsidRPr="00CD0EA6">
        <w:rPr>
          <w:rFonts w:ascii="Arial" w:hAnsi="Arial" w:cs="Arial"/>
          <w:sz w:val="24"/>
          <w:szCs w:val="24"/>
          <w:lang w:val="es-MX"/>
        </w:rPr>
        <w:t xml:space="preserve">. </w:t>
      </w:r>
      <w:r w:rsidR="002B4131">
        <w:rPr>
          <w:rFonts w:ascii="Arial" w:hAnsi="Arial" w:cs="Arial"/>
          <w:sz w:val="24"/>
          <w:szCs w:val="24"/>
          <w:lang w:val="yo-NG"/>
        </w:rPr>
        <w:t>Resultados de la e</w:t>
      </w:r>
      <w:r w:rsidRPr="00CD0EA6">
        <w:rPr>
          <w:rFonts w:ascii="Arial" w:hAnsi="Arial" w:cs="Arial"/>
          <w:sz w:val="24"/>
          <w:szCs w:val="24"/>
          <w:lang w:val="es-MX"/>
        </w:rPr>
        <w:t>valuación ergonómica mediante OWAS</w:t>
      </w:r>
    </w:p>
    <w:tbl>
      <w:tblPr>
        <w:tblStyle w:val="TableGrid"/>
        <w:tblW w:w="0" w:type="auto"/>
        <w:jc w:val="center"/>
        <w:tblLayout w:type="fixed"/>
        <w:tblLook w:val="04A0" w:firstRow="1" w:lastRow="0" w:firstColumn="1" w:lastColumn="0" w:noHBand="0" w:noVBand="1"/>
      </w:tblPr>
      <w:tblGrid>
        <w:gridCol w:w="1296"/>
        <w:gridCol w:w="1296"/>
        <w:gridCol w:w="1296"/>
        <w:gridCol w:w="1296"/>
        <w:gridCol w:w="1296"/>
        <w:gridCol w:w="1296"/>
        <w:gridCol w:w="1296"/>
      </w:tblGrid>
      <w:tr w:rsidR="001834E6" w:rsidRPr="003A11CA">
        <w:trPr>
          <w:jc w:val="center"/>
        </w:trPr>
        <w:tc>
          <w:tcPr>
            <w:tcW w:w="1296"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lastRenderedPageBreak/>
              <w:t>Puesto</w:t>
            </w:r>
          </w:p>
        </w:tc>
        <w:tc>
          <w:tcPr>
            <w:tcW w:w="1296"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Espalda</w:t>
            </w:r>
          </w:p>
        </w:tc>
        <w:tc>
          <w:tcPr>
            <w:tcW w:w="1296"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Brazos</w:t>
            </w:r>
          </w:p>
        </w:tc>
        <w:tc>
          <w:tcPr>
            <w:tcW w:w="1296"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Piernas</w:t>
            </w:r>
          </w:p>
        </w:tc>
        <w:tc>
          <w:tcPr>
            <w:tcW w:w="1296"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Carga</w:t>
            </w:r>
          </w:p>
        </w:tc>
        <w:tc>
          <w:tcPr>
            <w:tcW w:w="1296"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Código OWAS</w:t>
            </w:r>
          </w:p>
        </w:tc>
        <w:tc>
          <w:tcPr>
            <w:tcW w:w="1296"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Categoría de acción</w:t>
            </w:r>
          </w:p>
        </w:tc>
      </w:tr>
      <w:tr w:rsidR="001834E6" w:rsidRPr="003A11CA">
        <w:trPr>
          <w:jc w:val="center"/>
        </w:trPr>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Llenador</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Giro + ligera flexión; componente 4</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Por debajo de los hombros; 1</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De pie con movimiento; 2</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Envases vacíos/pomos llenos &lt;10 kg; 1</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4-1-2-1</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3</w:t>
            </w:r>
          </w:p>
        </w:tc>
      </w:tr>
      <w:tr w:rsidR="001834E6" w:rsidRPr="003A11CA">
        <w:trPr>
          <w:jc w:val="center"/>
        </w:trPr>
        <w:tc>
          <w:tcPr>
            <w:tcW w:w="1296"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Tapador/etiquetador</w:t>
            </w:r>
          </w:p>
        </w:tc>
        <w:tc>
          <w:tcPr>
            <w:tcW w:w="1296"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Recta; 1</w:t>
            </w:r>
          </w:p>
        </w:tc>
        <w:tc>
          <w:tcPr>
            <w:tcW w:w="1296"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Por debajo de los hombros; 1</w:t>
            </w:r>
          </w:p>
        </w:tc>
        <w:tc>
          <w:tcPr>
            <w:tcW w:w="1296"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Sentado; 1</w:t>
            </w:r>
          </w:p>
        </w:tc>
        <w:tc>
          <w:tcPr>
            <w:tcW w:w="1296"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Tapas/etiquetas &lt;10 kg; 1</w:t>
            </w:r>
          </w:p>
        </w:tc>
        <w:tc>
          <w:tcPr>
            <w:tcW w:w="1296"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1-1-1-1</w:t>
            </w:r>
          </w:p>
        </w:tc>
        <w:tc>
          <w:tcPr>
            <w:tcW w:w="1296"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1</w:t>
            </w:r>
          </w:p>
        </w:tc>
      </w:tr>
      <w:tr w:rsidR="001834E6" w:rsidRPr="003A11CA">
        <w:trPr>
          <w:jc w:val="center"/>
        </w:trPr>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Transportista</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Inclinación al recoger pomos; 2</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Por debajo de los hombros; 1</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Caminando; 7</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Cuatro pomos &gt;20 kg; 3</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2-1-7-3</w:t>
            </w:r>
          </w:p>
        </w:tc>
        <w:tc>
          <w:tcPr>
            <w:tcW w:w="1296"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4</w:t>
            </w:r>
          </w:p>
        </w:tc>
      </w:tr>
    </w:tbl>
    <w:p w:rsidR="001834E6" w:rsidRPr="00CD0EA6" w:rsidRDefault="002B4131" w:rsidP="005A4CF5">
      <w:pPr>
        <w:spacing w:after="0"/>
        <w:jc w:val="center"/>
        <w:rPr>
          <w:rFonts w:ascii="Arial" w:hAnsi="Arial" w:cs="Arial"/>
          <w:sz w:val="24"/>
          <w:szCs w:val="24"/>
          <w:lang w:val="es-MX"/>
        </w:rPr>
      </w:pPr>
      <w:r w:rsidRPr="00CD0EA6">
        <w:rPr>
          <w:rFonts w:ascii="Arial" w:hAnsi="Arial" w:cs="Arial"/>
          <w:sz w:val="24"/>
          <w:szCs w:val="24"/>
          <w:lang w:val="es-MX"/>
        </w:rPr>
        <w:t>Fuente: Elaboración propia a partir de los resultados de la evaluación OWAS de la investigación.</w:t>
      </w:r>
    </w:p>
    <w:p w:rsidR="001834E6" w:rsidRPr="006B20A3" w:rsidRDefault="002B4131" w:rsidP="005A4CF5">
      <w:pPr>
        <w:spacing w:after="0" w:line="360" w:lineRule="auto"/>
        <w:jc w:val="both"/>
        <w:rPr>
          <w:rFonts w:ascii="Arial" w:hAnsi="Arial" w:cs="Arial"/>
          <w:sz w:val="24"/>
          <w:szCs w:val="24"/>
          <w:lang w:val="es-MX"/>
        </w:rPr>
      </w:pPr>
      <w:r w:rsidRPr="006B20A3">
        <w:rPr>
          <w:rFonts w:ascii="Arial" w:hAnsi="Arial" w:cs="Arial"/>
          <w:sz w:val="24"/>
          <w:szCs w:val="24"/>
          <w:lang w:val="es-MX"/>
        </w:rPr>
        <w:t>La evaluación permite distinguir entre las categorías asignadas a cada componente corporal y la categoría final de acción. En el llenador, por ejemplo, el código 4-1-2-1 indica que la espalda fue clasificada en la categoría 4 del componente correspondiente, mientras que la combinación completa condujo a una categoría de acción 3. Por tanto, no debe afirmarse que el llenador se encuentra en categoría 4 de riesgo. El transportista obtuvo categoría de acción 4, asociada a una combinación que incluye flexión de espalda, desplazamiento caminando y manipulación de una carga superior a 20 kg.</w:t>
      </w:r>
    </w:p>
    <w:p w:rsidR="001834E6" w:rsidRPr="006B20A3" w:rsidRDefault="002B4131" w:rsidP="005A4CF5">
      <w:pPr>
        <w:spacing w:after="0" w:line="360" w:lineRule="auto"/>
        <w:jc w:val="both"/>
        <w:rPr>
          <w:rFonts w:ascii="Arial" w:hAnsi="Arial" w:cs="Arial"/>
          <w:sz w:val="24"/>
          <w:szCs w:val="24"/>
          <w:lang w:val="es-MX"/>
        </w:rPr>
      </w:pPr>
      <w:r w:rsidRPr="006B20A3">
        <w:rPr>
          <w:rFonts w:ascii="Arial" w:hAnsi="Arial" w:cs="Arial"/>
          <w:sz w:val="24"/>
          <w:szCs w:val="24"/>
          <w:lang w:val="es-MX"/>
        </w:rPr>
        <w:t>En el llenador, la postura de giro y ligera flexión del tronco se reportó aproximadamente durante el 40 % del tiempo observado. En el transportista, la manipulación de cargas pesadas se vinculó aproximadamente con el 30 % del tiempo observado. Estos valores son útiles para interpretar la relevancia de las posturas dentro de la observación realizada, pero no deben extrapolarse a toda la jornada ni utilizarse para calcular una reducción de riesgo posterior, porque la intervención no fue validada mediante una medición experimental posterior.</w:t>
      </w:r>
    </w:p>
    <w:p w:rsidR="001834E6" w:rsidRPr="006B20A3" w:rsidRDefault="002B4131" w:rsidP="005A4CF5">
      <w:pPr>
        <w:spacing w:after="0" w:line="360" w:lineRule="auto"/>
        <w:jc w:val="both"/>
        <w:rPr>
          <w:rFonts w:ascii="Arial" w:hAnsi="Arial" w:cs="Arial"/>
          <w:sz w:val="24"/>
          <w:szCs w:val="24"/>
          <w:lang w:val="es-MX"/>
        </w:rPr>
      </w:pPr>
      <w:r w:rsidRPr="006B20A3">
        <w:rPr>
          <w:rFonts w:ascii="Arial" w:hAnsi="Arial" w:cs="Arial"/>
          <w:sz w:val="24"/>
          <w:szCs w:val="24"/>
          <w:lang w:val="es-MX"/>
        </w:rPr>
        <w:t xml:space="preserve">El resultado del tapador y el etiquetador fue diferente. La postura sentada con espalda recta, brazos por debajo de los hombros, piernas en posición sentada y manipulación de elementos inferiores a 10 kg correspondió al código 1-1-1-1 y a la categoría de acción 1. Esto no elimina la necesidad de mejorar el mobiliario: la investigación identificó sillas no </w:t>
      </w:r>
      <w:r w:rsidRPr="006B20A3">
        <w:rPr>
          <w:rFonts w:ascii="Arial" w:hAnsi="Arial" w:cs="Arial"/>
          <w:sz w:val="24"/>
          <w:szCs w:val="24"/>
          <w:lang w:val="es-MX"/>
        </w:rPr>
        <w:lastRenderedPageBreak/>
        <w:t>ergonómicas y planteó su rediseño desde criterios antropométricos, aunque la evaluación OWAS puntual no clasificó este puesto como una situación de intervención inmediata.</w:t>
      </w:r>
    </w:p>
    <w:p w:rsidR="001834E6" w:rsidRPr="006B20A3" w:rsidRDefault="002B4131" w:rsidP="005A4CF5">
      <w:pPr>
        <w:spacing w:after="0" w:line="360" w:lineRule="auto"/>
        <w:jc w:val="both"/>
        <w:rPr>
          <w:rFonts w:ascii="Arial" w:hAnsi="Arial" w:cs="Arial"/>
          <w:sz w:val="24"/>
          <w:szCs w:val="24"/>
          <w:lang w:val="es-MX"/>
        </w:rPr>
      </w:pPr>
      <w:r w:rsidRPr="006B20A3">
        <w:rPr>
          <w:rFonts w:ascii="Arial" w:hAnsi="Arial" w:cs="Arial"/>
          <w:sz w:val="24"/>
          <w:szCs w:val="24"/>
          <w:lang w:val="es-MX"/>
        </w:rPr>
        <w:t>Los resultados son coherentes con el propósito del OWAS como método de observación orientado no solo a identificar posturas desfavorables, sino también a aportar información para modificar métodos y lugares de trabajo. En los trabajos originales de Karhu y colaboradores, el método se presenta precisamente como una herramienta para evaluar posturas y apoyar el rediseño de métodos y puestos (Karhu et al., 1977; Karhu et al., 1981).</w:t>
      </w:r>
    </w:p>
    <w:p w:rsidR="002B4131" w:rsidRPr="00631937" w:rsidRDefault="002B4131" w:rsidP="005A4CF5">
      <w:pPr>
        <w:pStyle w:val="Heading2"/>
        <w:spacing w:before="0"/>
        <w:rPr>
          <w:rFonts w:ascii="Arial" w:hAnsi="Arial" w:cs="Arial"/>
          <w:color w:val="auto"/>
        </w:rPr>
      </w:pPr>
      <w:bookmarkStart w:id="0" w:name="_GoBack"/>
      <w:r w:rsidRPr="00631937">
        <w:rPr>
          <w:rFonts w:ascii="Arial" w:hAnsi="Arial" w:cs="Arial"/>
          <w:color w:val="auto"/>
        </w:rPr>
        <w:t>3.4. Deficiencias ergonómicas y organizativas</w:t>
      </w:r>
    </w:p>
    <w:bookmarkEnd w:id="0"/>
    <w:p w:rsidR="006B20A3" w:rsidRDefault="002B4131" w:rsidP="005A4CF5">
      <w:pPr>
        <w:spacing w:after="0" w:line="360" w:lineRule="auto"/>
        <w:jc w:val="both"/>
        <w:rPr>
          <w:rFonts w:ascii="Arial" w:hAnsi="Arial" w:cs="Arial"/>
          <w:sz w:val="24"/>
          <w:szCs w:val="24"/>
          <w:lang w:val="yo-NG"/>
        </w:rPr>
      </w:pPr>
      <w:r w:rsidRPr="002B4131">
        <w:rPr>
          <w:rFonts w:ascii="Arial" w:hAnsi="Arial" w:cs="Arial"/>
          <w:sz w:val="24"/>
          <w:szCs w:val="24"/>
          <w:lang w:val="yo-NG"/>
        </w:rPr>
        <w:t>Se realizó un análisis identificando las deficiencias ergonómicas y organizativas de cómo afecta el sisema de trabajo y resaltando la necesidad de una intervención</w:t>
      </w:r>
      <w:r>
        <w:rPr>
          <w:rFonts w:ascii="Arial" w:hAnsi="Arial" w:cs="Arial"/>
          <w:sz w:val="24"/>
          <w:szCs w:val="24"/>
          <w:lang w:val="yo-NG"/>
        </w:rPr>
        <w:t>.</w:t>
      </w:r>
    </w:p>
    <w:p w:rsidR="002B4131" w:rsidRPr="002B4131" w:rsidRDefault="002B4131" w:rsidP="005A4CF5">
      <w:pPr>
        <w:spacing w:after="0" w:line="360" w:lineRule="auto"/>
        <w:jc w:val="center"/>
        <w:rPr>
          <w:rFonts w:ascii="Arial" w:hAnsi="Arial" w:cs="Arial"/>
          <w:sz w:val="24"/>
          <w:szCs w:val="24"/>
          <w:lang w:val="yo-NG"/>
        </w:rPr>
      </w:pPr>
      <w:r>
        <w:rPr>
          <w:rFonts w:ascii="Arial" w:hAnsi="Arial" w:cs="Arial"/>
          <w:sz w:val="24"/>
          <w:szCs w:val="24"/>
          <w:lang w:val="yo-NG"/>
        </w:rPr>
        <w:t>Tabla 3. Identificación de las deficiencias ergonómicas y organizativas</w:t>
      </w:r>
    </w:p>
    <w:tbl>
      <w:tblPr>
        <w:tblStyle w:val="TableGrid"/>
        <w:tblW w:w="0" w:type="auto"/>
        <w:jc w:val="center"/>
        <w:tblLayout w:type="fixed"/>
        <w:tblLook w:val="04A0" w:firstRow="1" w:lastRow="0" w:firstColumn="1" w:lastColumn="0" w:noHBand="0" w:noVBand="1"/>
      </w:tblPr>
      <w:tblGrid>
        <w:gridCol w:w="2268"/>
        <w:gridCol w:w="2268"/>
        <w:gridCol w:w="2268"/>
        <w:gridCol w:w="2268"/>
      </w:tblGrid>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Dimensión</w:t>
            </w:r>
          </w:p>
        </w:tc>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Deficiencia identificada</w:t>
            </w:r>
          </w:p>
        </w:tc>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lang w:val="es-MX"/>
              </w:rPr>
            </w:pPr>
            <w:r w:rsidRPr="003A11CA">
              <w:rPr>
                <w:rFonts w:ascii="Arial" w:hAnsi="Arial" w:cs="Arial"/>
                <w:b/>
                <w:color w:val="FFFFFF"/>
                <w:lang w:val="es-MX"/>
              </w:rPr>
              <w:t>Efecto en el sistema de trabajo</w:t>
            </w:r>
          </w:p>
        </w:tc>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Necesidad de intervención</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Diseño del puesto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Alturas de mesas no estandarizadas</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Favorece posturas incómodas y participación excesiva del tronco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Rediseño de alturas mediante criterios antropométricos</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Abastecimiento</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Envases ubicados de forma que exigen alcances laterales e inclinaciones</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Incrementa desplazamientos y torsiones</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Acercamiento y ajuste de la posición de los envases</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Mobiliario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Sillas no ergonómicas en tapado y etiquetado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Puede favorecer incomodidad y fatiga durante el trabajo sentado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Diseño de sillas y espacio inferior de mesa</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Manipulación</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Transporte manual de cuatro pomos</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Genera carga física y desplazamiento adicional</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Incorporación de ayudas mecánicas o medios de transferencia</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Método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Secuencia con participación desigual de ambas manos y del tronco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Genera movimientos innecesarios y desequilibrio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Nuevo método con mayor simetría</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lastRenderedPageBreak/>
              <w:t>Coordinación</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Dependencia entre llenado, tapado, etiquetado y embalaje</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Produce esperas y tiempos improductivos</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Reorganización de tareas y mayor simultaneidad</w:t>
            </w:r>
          </w:p>
        </w:tc>
      </w:tr>
    </w:tbl>
    <w:p w:rsidR="001834E6" w:rsidRPr="002B4131" w:rsidRDefault="002B4131" w:rsidP="005A4CF5">
      <w:pPr>
        <w:spacing w:after="0" w:line="360" w:lineRule="auto"/>
        <w:jc w:val="center"/>
        <w:rPr>
          <w:rFonts w:ascii="Arial" w:hAnsi="Arial" w:cs="Arial"/>
          <w:sz w:val="24"/>
          <w:szCs w:val="24"/>
          <w:lang w:val="es-MX"/>
        </w:rPr>
      </w:pPr>
      <w:r w:rsidRPr="002B4131">
        <w:rPr>
          <w:rFonts w:ascii="Arial" w:hAnsi="Arial" w:cs="Arial"/>
          <w:sz w:val="24"/>
          <w:szCs w:val="24"/>
          <w:lang w:val="es-MX"/>
        </w:rPr>
        <w:t>Fuente: Elaboración propia.</w:t>
      </w:r>
    </w:p>
    <w:p w:rsidR="001834E6" w:rsidRPr="002B4131" w:rsidRDefault="002B4131" w:rsidP="005A4CF5">
      <w:pPr>
        <w:spacing w:after="0" w:line="360" w:lineRule="auto"/>
        <w:jc w:val="both"/>
        <w:rPr>
          <w:rFonts w:ascii="Arial" w:hAnsi="Arial" w:cs="Arial"/>
          <w:sz w:val="24"/>
          <w:szCs w:val="24"/>
          <w:lang w:val="es-MX"/>
        </w:rPr>
      </w:pPr>
      <w:r w:rsidRPr="002B4131">
        <w:rPr>
          <w:rFonts w:ascii="Arial" w:hAnsi="Arial" w:cs="Arial"/>
          <w:sz w:val="24"/>
          <w:szCs w:val="24"/>
          <w:lang w:val="es-MX"/>
        </w:rPr>
        <w:t>La lectura conjunta de estos resultados muestra que las deficiencias no se encuentran aisladas. La altura de una mesa condiciona la postura; la ubicación de los envases determina la amplitud de los alcances; y la secuencia del método influye sobre la coordinación entre trabajadores. Por ello, la solución propuesta se concibió como una intervención integrada y no como la sustitución aislada de un elemento del puesto.</w:t>
      </w:r>
    </w:p>
    <w:p w:rsidR="001834E6" w:rsidRPr="005A4CF5" w:rsidRDefault="002B4131" w:rsidP="005A4CF5">
      <w:pPr>
        <w:pStyle w:val="Heading1"/>
        <w:spacing w:before="0" w:line="360" w:lineRule="auto"/>
        <w:jc w:val="both"/>
        <w:rPr>
          <w:rFonts w:ascii="Arial" w:hAnsi="Arial" w:cs="Arial"/>
          <w:color w:val="auto"/>
          <w:sz w:val="24"/>
          <w:szCs w:val="24"/>
          <w:lang w:val="es-MX"/>
        </w:rPr>
      </w:pPr>
      <w:r w:rsidRPr="005A4CF5">
        <w:rPr>
          <w:rFonts w:ascii="Arial" w:hAnsi="Arial" w:cs="Arial"/>
          <w:color w:val="auto"/>
          <w:sz w:val="24"/>
          <w:szCs w:val="24"/>
          <w:lang w:val="es-MX"/>
        </w:rPr>
        <w:t>4. Propuesta de intervención de Ingeniería Industrial</w:t>
      </w:r>
    </w:p>
    <w:p w:rsidR="001834E6" w:rsidRPr="005A4CF5" w:rsidRDefault="002B4131" w:rsidP="005A4CF5">
      <w:pPr>
        <w:pStyle w:val="Heading2"/>
        <w:spacing w:before="0" w:line="360" w:lineRule="auto"/>
        <w:jc w:val="both"/>
        <w:rPr>
          <w:rFonts w:ascii="Arial" w:hAnsi="Arial" w:cs="Arial"/>
          <w:color w:val="auto"/>
          <w:szCs w:val="24"/>
          <w:lang w:val="es-MX"/>
        </w:rPr>
      </w:pPr>
      <w:r w:rsidRPr="005A4CF5">
        <w:rPr>
          <w:rFonts w:ascii="Arial" w:hAnsi="Arial" w:cs="Arial"/>
          <w:color w:val="auto"/>
          <w:szCs w:val="24"/>
          <w:lang w:val="es-MX"/>
        </w:rPr>
        <w:t>4.1. Rediseño antropométrico de los puestos</w:t>
      </w:r>
    </w:p>
    <w:p w:rsidR="001834E6"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El rediseño tomó como base los datos antropométricos de la población laboral cubana empleados en la tesis. La selección de percentiles respondió a la dimensión analizada: los valores P5 se utilizaron en dimensiones relacionadas con alturas que deben resultar accesibles incluso para trabajadores de menor talla; el P95 se empleó en dimensiones de espacio y amplitud que deben admitir a trabajadores de mayor talla; y el P50 se empleó para una altura de trabajo sentado. El propósito fue orientar el diseño hacia una mayor compatibilidad con la población laboral considerada.</w:t>
      </w:r>
    </w:p>
    <w:p w:rsidR="005A4CF5" w:rsidRPr="005A4CF5" w:rsidRDefault="005A4CF5" w:rsidP="005A4CF5">
      <w:pPr>
        <w:spacing w:after="0" w:line="360" w:lineRule="auto"/>
        <w:jc w:val="center"/>
        <w:rPr>
          <w:rFonts w:ascii="Arial" w:hAnsi="Arial" w:cs="Arial"/>
          <w:sz w:val="24"/>
          <w:szCs w:val="24"/>
          <w:lang w:val="yo-NG"/>
        </w:rPr>
      </w:pPr>
      <w:r>
        <w:rPr>
          <w:rFonts w:ascii="Arial" w:hAnsi="Arial" w:cs="Arial"/>
          <w:sz w:val="24"/>
          <w:szCs w:val="24"/>
          <w:lang w:val="yo-NG"/>
        </w:rPr>
        <w:t>Tabla 4</w:t>
      </w:r>
      <w:r w:rsidRPr="005A4CF5">
        <w:rPr>
          <w:rFonts w:ascii="Arial" w:hAnsi="Arial" w:cs="Arial"/>
          <w:sz w:val="24"/>
          <w:szCs w:val="24"/>
          <w:lang w:val="yo-NG"/>
        </w:rPr>
        <w:t xml:space="preserve">. </w:t>
      </w:r>
      <w:r w:rsidRPr="005A4CF5">
        <w:rPr>
          <w:rFonts w:ascii="Arial" w:hAnsi="Arial" w:cs="Arial"/>
          <w:sz w:val="24"/>
          <w:szCs w:val="24"/>
          <w:lang w:val="es-MX"/>
        </w:rPr>
        <w:t>Rediseño antropométrico de los puestos</w:t>
      </w:r>
    </w:p>
    <w:tbl>
      <w:tblPr>
        <w:tblStyle w:val="TableGrid"/>
        <w:tblW w:w="0" w:type="auto"/>
        <w:jc w:val="center"/>
        <w:tblLayout w:type="fixed"/>
        <w:tblLook w:val="04A0" w:firstRow="1" w:lastRow="0" w:firstColumn="1" w:lastColumn="0" w:noHBand="0" w:noVBand="1"/>
      </w:tblPr>
      <w:tblGrid>
        <w:gridCol w:w="1512"/>
        <w:gridCol w:w="1512"/>
        <w:gridCol w:w="1512"/>
        <w:gridCol w:w="1512"/>
        <w:gridCol w:w="1512"/>
        <w:gridCol w:w="1512"/>
      </w:tblGrid>
      <w:tr w:rsidR="001834E6" w:rsidRPr="003A11CA">
        <w:trPr>
          <w:jc w:val="center"/>
        </w:trPr>
        <w:tc>
          <w:tcPr>
            <w:tcW w:w="1512"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Elemento</w:t>
            </w:r>
          </w:p>
        </w:tc>
        <w:tc>
          <w:tcPr>
            <w:tcW w:w="1512"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Dimensión</w:t>
            </w:r>
          </w:p>
        </w:tc>
        <w:tc>
          <w:tcPr>
            <w:tcW w:w="1512"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Valor propuesto</w:t>
            </w:r>
          </w:p>
        </w:tc>
        <w:tc>
          <w:tcPr>
            <w:tcW w:w="1512"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Percentil</w:t>
            </w:r>
          </w:p>
        </w:tc>
        <w:tc>
          <w:tcPr>
            <w:tcW w:w="1512"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Sexo</w:t>
            </w:r>
          </w:p>
        </w:tc>
        <w:tc>
          <w:tcPr>
            <w:tcW w:w="1512"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Finalidad</w:t>
            </w:r>
          </w:p>
        </w:tc>
      </w:tr>
      <w:tr w:rsidR="001834E6" w:rsidRPr="003A11CA">
        <w:trPr>
          <w:jc w:val="center"/>
        </w:trPr>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Silla de tapado/etiquetado</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Altura del asiento</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35,1 cm</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P5</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Mujeres</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Facilitar apoyo de trabajadores de menor altura</w:t>
            </w:r>
          </w:p>
        </w:tc>
      </w:tr>
      <w:tr w:rsidR="001834E6" w:rsidRPr="003A11CA">
        <w:trPr>
          <w:jc w:val="center"/>
        </w:trPr>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Silla</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Ancho del asiento</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50 cm</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P95</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Mujeres</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Garantizar amplitud suficiente</w:t>
            </w:r>
          </w:p>
        </w:tc>
      </w:tr>
      <w:tr w:rsidR="001834E6" w:rsidRPr="003A11CA">
        <w:trPr>
          <w:jc w:val="center"/>
        </w:trPr>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Silla</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Profundidad del asiento</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49–50 cm</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P95</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Mujeres</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Garantizar soporte adecuado</w:t>
            </w:r>
          </w:p>
        </w:tc>
      </w:tr>
      <w:tr w:rsidR="001834E6" w:rsidRPr="003A11CA">
        <w:trPr>
          <w:jc w:val="center"/>
        </w:trPr>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lastRenderedPageBreak/>
              <w:t>Mesa para trabajo sentado</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Espacio bajo mesa</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65 cm</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P95</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Mujeres</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Permitir espacio para las piernas</w:t>
            </w:r>
          </w:p>
        </w:tc>
      </w:tr>
      <w:tr w:rsidR="001834E6" w:rsidRPr="003A11CA">
        <w:trPr>
          <w:jc w:val="center"/>
        </w:trPr>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Mesa para trabajo sentado</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Altura total</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56–58 cm</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P50</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Mujeres</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Adecuar el plano de trabajo sentado</w:t>
            </w:r>
          </w:p>
        </w:tc>
      </w:tr>
      <w:tr w:rsidR="001834E6" w:rsidRPr="003A11CA">
        <w:trPr>
          <w:jc w:val="center"/>
        </w:trPr>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Mesa de tijera auxiliar</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Altura</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96 cm</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P5</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Hombres</w:t>
            </w:r>
          </w:p>
        </w:tc>
        <w:tc>
          <w:tcPr>
            <w:tcW w:w="1512"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Acercar los envases al alcance del llenador</w:t>
            </w:r>
          </w:p>
        </w:tc>
      </w:tr>
      <w:tr w:rsidR="001834E6" w:rsidRPr="003A11CA">
        <w:trPr>
          <w:jc w:val="center"/>
        </w:trPr>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Mesa de llenado</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Altura</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96 cm</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P5</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Hombres</w:t>
            </w:r>
          </w:p>
        </w:tc>
        <w:tc>
          <w:tcPr>
            <w:tcW w:w="1512"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Reducir flexión y favorecer postura de pie</w:t>
            </w:r>
          </w:p>
        </w:tc>
      </w:tr>
    </w:tbl>
    <w:p w:rsidR="001834E6" w:rsidRPr="005A4CF5" w:rsidRDefault="002B4131" w:rsidP="005A4CF5">
      <w:pPr>
        <w:spacing w:before="40" w:after="160"/>
        <w:jc w:val="center"/>
        <w:rPr>
          <w:rFonts w:ascii="Arial" w:hAnsi="Arial" w:cs="Arial"/>
          <w:sz w:val="24"/>
          <w:szCs w:val="24"/>
          <w:lang w:val="es-MX"/>
        </w:rPr>
      </w:pPr>
      <w:r w:rsidRPr="005A4CF5">
        <w:rPr>
          <w:rFonts w:ascii="Arial" w:hAnsi="Arial" w:cs="Arial"/>
          <w:sz w:val="24"/>
          <w:szCs w:val="24"/>
          <w:lang w:val="es-MX"/>
        </w:rPr>
        <w:t>Fuente: Elaboración propia a partir del diseño antropométrico desarrollado en la investigación.</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La mesa auxiliar tipo tijera constituye uno de los elementos centrales de la intervención. Su altura propuesta de 96 cm permite mantener los envases próximos al área de trabajo y disminuir la necesidad de inclinar o girar el tronco para tomarlos. La mesa de llenado se propone con la misma altura, lo que contribuye a una relación espacial más coherente entre la superficie de abastecimiento y la superficie de llenado.</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En los puestos sentados, las dimensiones propuestas para la silla y el espacio inferior de la mesa buscan mejorar la compatibilidad entre el trabajador y el mobiliario. Aunque el puesto de tapado y etiquetado obtuvo categoría de acción 1 en OWAS, el rediseño responde a una deficiencia de diseño identificada por observación y evita considerar la clasificación puntual del método como única fuente para decidir sobre el mobiliario.</w:t>
      </w:r>
    </w:p>
    <w:p w:rsidR="001834E6" w:rsidRPr="005A4CF5" w:rsidRDefault="002B4131" w:rsidP="005A4CF5">
      <w:pPr>
        <w:pStyle w:val="Heading2"/>
        <w:spacing w:before="0" w:line="360" w:lineRule="auto"/>
        <w:jc w:val="both"/>
        <w:rPr>
          <w:rFonts w:ascii="Arial" w:hAnsi="Arial" w:cs="Arial"/>
          <w:color w:val="auto"/>
          <w:szCs w:val="24"/>
          <w:lang w:val="es-MX"/>
        </w:rPr>
      </w:pPr>
      <w:r w:rsidRPr="005A4CF5">
        <w:rPr>
          <w:rFonts w:ascii="Arial" w:hAnsi="Arial" w:cs="Arial"/>
          <w:color w:val="auto"/>
          <w:szCs w:val="24"/>
          <w:lang w:val="es-MX"/>
        </w:rPr>
        <w:t>4.2. Nuevo método de llenado por tandas de 10 pomos</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El nuevo método modifica la unidad de trabajo y reorganiza la secuencia de movimientos. Los pomos vacíos se colocan previamente en una mesa de tijera auxiliar situada a la izquierda del llenador, a una altura de 96 cm. El operario se ubica frente a la mesa de llenado y toma dos envases simultáneamente, uno con cada mano. A continuación, retorna al centro y coloca ambos envases bajo las llaves correspondientes. La secuencia se repite hasta completar una tanda de 10 pomos.</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lastRenderedPageBreak/>
        <w:t>Una vez colocados los diez envases, el llenador activa la válvula principal con el pie derecho, de modo que el llenado se realiza simultáneamente. Finalizado el llenado, cierra la válvula y comienza el retiro de los pomos, colocándolos en la zona destinada al tapado. El método mantiene una secuencia bilateral durante la preparación de la tanda y busca que ambas manos participen de manera equilibrada.</w:t>
      </w:r>
    </w:p>
    <w:p w:rsidR="001834E6"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El diagrama bimanual propuesto utiliza como unidad de análisis una tanda de 10 pomos PET y registra 25 movimientos para la mano izquierda y 25 para la mano derecha. El resumen del diagrama muestra frecuencias simétricas de las actividades registradas. Este resultado debe interpretarse como una característica de organización del nuevo método y no como una reducción porcentual respecto a los 32 movimientos del método actual, debido al cambio de unidad de análisis.</w:t>
      </w:r>
    </w:p>
    <w:p w:rsidR="005A4CF5" w:rsidRPr="005A4CF5" w:rsidRDefault="005A4CF5" w:rsidP="005A4CF5">
      <w:pPr>
        <w:spacing w:after="0" w:line="360" w:lineRule="auto"/>
        <w:jc w:val="center"/>
        <w:rPr>
          <w:rFonts w:ascii="Arial" w:hAnsi="Arial" w:cs="Arial"/>
          <w:sz w:val="24"/>
          <w:szCs w:val="24"/>
          <w:lang w:val="yo-NG"/>
        </w:rPr>
      </w:pPr>
      <w:r>
        <w:rPr>
          <w:rFonts w:ascii="Arial" w:hAnsi="Arial" w:cs="Arial"/>
          <w:sz w:val="24"/>
          <w:szCs w:val="24"/>
          <w:lang w:val="yo-NG"/>
        </w:rPr>
        <w:t>Tabla 5. Resultados del nuevo método de llenado por tandas de 10 pomos</w:t>
      </w:r>
    </w:p>
    <w:tbl>
      <w:tblPr>
        <w:tblStyle w:val="TableGrid"/>
        <w:tblW w:w="0" w:type="auto"/>
        <w:jc w:val="center"/>
        <w:tblLayout w:type="fixed"/>
        <w:tblLook w:val="04A0" w:firstRow="1" w:lastRow="0" w:firstColumn="1" w:lastColumn="0" w:noHBand="0" w:noVBand="1"/>
      </w:tblPr>
      <w:tblGrid>
        <w:gridCol w:w="2268"/>
        <w:gridCol w:w="2268"/>
        <w:gridCol w:w="2268"/>
        <w:gridCol w:w="2268"/>
      </w:tblGrid>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Aspecto</w:t>
            </w:r>
          </w:p>
        </w:tc>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Método actual</w:t>
            </w:r>
          </w:p>
        </w:tc>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Método propuesto</w:t>
            </w:r>
          </w:p>
        </w:tc>
        <w:tc>
          <w:tcPr>
            <w:tcW w:w="2268" w:type="dxa"/>
            <w:tcBorders>
              <w:top w:val="single" w:sz="5" w:space="0" w:color="D9E2F3"/>
              <w:left w:val="single" w:sz="5" w:space="0" w:color="D9E2F3"/>
              <w:bottom w:val="single" w:sz="5" w:space="0" w:color="D9E2F3"/>
              <w:right w:val="single" w:sz="5" w:space="0" w:color="D9E2F3"/>
            </w:tcBorders>
            <w:shd w:val="clear" w:color="auto" w:fill="1F4E78"/>
            <w:tcMar>
              <w:top w:w="90" w:type="dxa"/>
              <w:left w:w="90" w:type="dxa"/>
              <w:bottom w:w="90" w:type="dxa"/>
              <w:right w:w="90" w:type="dxa"/>
            </w:tcMar>
            <w:vAlign w:val="center"/>
          </w:tcPr>
          <w:p w:rsidR="001834E6" w:rsidRPr="003A11CA" w:rsidRDefault="002B4131">
            <w:pPr>
              <w:spacing w:before="40" w:after="40" w:line="240" w:lineRule="auto"/>
              <w:jc w:val="center"/>
              <w:rPr>
                <w:rFonts w:ascii="Arial" w:hAnsi="Arial" w:cs="Arial"/>
              </w:rPr>
            </w:pPr>
            <w:r w:rsidRPr="003A11CA">
              <w:rPr>
                <w:rFonts w:ascii="Arial" w:hAnsi="Arial" w:cs="Arial"/>
                <w:b/>
                <w:color w:val="FFFFFF"/>
              </w:rPr>
              <w:t>Interpretación</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Unidad de análisis</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1 caja de ron</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1 tanda de 10 pomos PET</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Las unidades no son equivalentes para una comparación porcentual directa</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Movimientos por mano</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32 por mano</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25 por mano</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El nuevo ciclo reorganiza la secuencia; no se calcula reducción porcentual</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Participación de manos</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Desequilibrios e inactividad en fases específicas</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25 movimientos en cada mano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Mayor simetría dentro de la nueva unidad de análisis</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Abastecimiento</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Acceso al depósito con alcances y giros</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Envases preposicionados en mesa de tijera</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Menor necesidad de alcanzar hacia zonas alejadas</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Llenado</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Secuencia por pares</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Tanda de 10 con válvula principal</w:t>
            </w:r>
          </w:p>
        </w:tc>
        <w:tc>
          <w:tcPr>
            <w:tcW w:w="2268" w:type="dxa"/>
            <w:tcBorders>
              <w:top w:val="single" w:sz="5" w:space="0" w:color="D9E2F3"/>
              <w:left w:val="single" w:sz="5" w:space="0" w:color="D9E2F3"/>
              <w:bottom w:val="single" w:sz="5" w:space="0" w:color="D9E2F3"/>
              <w:right w:val="single" w:sz="5" w:space="0" w:color="D9E2F3"/>
            </w:tcBorders>
            <w:shd w:val="clear" w:color="auto" w:fill="FFFFFF"/>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Mayor agrupación de la operación</w:t>
            </w:r>
          </w:p>
        </w:tc>
      </w:tr>
      <w:tr w:rsidR="001834E6" w:rsidRPr="003A11CA">
        <w:trPr>
          <w:jc w:val="center"/>
        </w:trPr>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rPr>
            </w:pPr>
            <w:r w:rsidRPr="003A11CA">
              <w:rPr>
                <w:rFonts w:ascii="Arial" w:hAnsi="Arial" w:cs="Arial"/>
              </w:rPr>
              <w:t>Organización</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Dependencia fuerte del ritmo inicial del llenador</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Secuencia diseñada para mayor continuidad</w:t>
            </w:r>
          </w:p>
        </w:tc>
        <w:tc>
          <w:tcPr>
            <w:tcW w:w="2268" w:type="dxa"/>
            <w:tcBorders>
              <w:top w:val="single" w:sz="5" w:space="0" w:color="D9E2F3"/>
              <w:left w:val="single" w:sz="5" w:space="0" w:color="D9E2F3"/>
              <w:bottom w:val="single" w:sz="5" w:space="0" w:color="D9E2F3"/>
              <w:right w:val="single" w:sz="5" w:space="0" w:color="D9E2F3"/>
            </w:tcBorders>
            <w:shd w:val="clear" w:color="auto" w:fill="F3F7FA"/>
            <w:tcMar>
              <w:top w:w="90" w:type="dxa"/>
              <w:left w:w="90" w:type="dxa"/>
              <w:bottom w:w="90" w:type="dxa"/>
              <w:right w:w="90" w:type="dxa"/>
            </w:tcMar>
            <w:vAlign w:val="center"/>
          </w:tcPr>
          <w:p w:rsidR="001834E6" w:rsidRPr="003A11CA" w:rsidRDefault="002B4131">
            <w:pPr>
              <w:spacing w:before="40" w:after="40" w:line="240" w:lineRule="auto"/>
              <w:rPr>
                <w:rFonts w:ascii="Arial" w:hAnsi="Arial" w:cs="Arial"/>
                <w:lang w:val="es-MX"/>
              </w:rPr>
            </w:pPr>
            <w:r w:rsidRPr="003A11CA">
              <w:rPr>
                <w:rFonts w:ascii="Arial" w:hAnsi="Arial" w:cs="Arial"/>
                <w:lang w:val="es-MX"/>
              </w:rPr>
              <w:t>Favorece la coordinación del flujo</w:t>
            </w:r>
          </w:p>
        </w:tc>
      </w:tr>
    </w:tbl>
    <w:p w:rsidR="001834E6" w:rsidRPr="005A4CF5" w:rsidRDefault="002B4131" w:rsidP="005A4CF5">
      <w:pPr>
        <w:spacing w:after="0" w:line="360" w:lineRule="auto"/>
        <w:jc w:val="center"/>
        <w:rPr>
          <w:rFonts w:ascii="Arial" w:hAnsi="Arial" w:cs="Arial"/>
          <w:sz w:val="24"/>
          <w:szCs w:val="24"/>
          <w:lang w:val="es-MX"/>
        </w:rPr>
      </w:pPr>
      <w:r w:rsidRPr="005A4CF5">
        <w:rPr>
          <w:rFonts w:ascii="Arial" w:hAnsi="Arial" w:cs="Arial"/>
          <w:sz w:val="24"/>
          <w:szCs w:val="24"/>
          <w:lang w:val="es-MX"/>
        </w:rPr>
        <w:t>Fuente: Elaboración propia a partir de los diagramas bimanuales y resultados de la investigación.</w:t>
      </w:r>
    </w:p>
    <w:p w:rsidR="001834E6" w:rsidRPr="005A4CF5" w:rsidRDefault="002B4131" w:rsidP="005A4CF5">
      <w:pPr>
        <w:pStyle w:val="Heading1"/>
        <w:spacing w:before="0" w:line="360" w:lineRule="auto"/>
        <w:jc w:val="both"/>
        <w:rPr>
          <w:rFonts w:ascii="Arial" w:hAnsi="Arial" w:cs="Arial"/>
          <w:color w:val="auto"/>
          <w:sz w:val="24"/>
          <w:szCs w:val="24"/>
          <w:lang w:val="es-MX"/>
        </w:rPr>
      </w:pPr>
      <w:r w:rsidRPr="005A4CF5">
        <w:rPr>
          <w:rFonts w:ascii="Arial" w:hAnsi="Arial" w:cs="Arial"/>
          <w:color w:val="auto"/>
          <w:sz w:val="24"/>
          <w:szCs w:val="24"/>
          <w:lang w:val="es-MX"/>
        </w:rPr>
        <w:lastRenderedPageBreak/>
        <w:t>Discusión</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Los resultados muestran que la intervención ergonómica adquiere mayor alcance cuando se analiza el puesto como parte de un sistema de trabajo. La OIT define los sistemas de trabajo como la interacción entre personas, tareas, herramientas y tecnologías, organización y entorno, y señala que la ergonomía utiliza un enfoque sistémico y orientado al diseño para optimizar conjuntamente desempeño y bienestar (ILO, 2024). En el caso estudiado, la postura del llenador no puede separarse de la ubicación de los envases, de la altura de la mesa ni del ritmo con que los restantes trabajadores reciben el producto.</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El diagnóstico OWAS aporta evidencia específica sobre las posiciones corporales críticas. El llenador presentó una combinación postural que condujo a categoría de acción 3, mientras el transportista alcanzó categoría 4. La metodología original de OWAS fue concebida para identificar y evaluar posturas desfavorables y apoyar el rediseño de métodos y lugares de trabajo (Karhu et al., 1977). La aplicación posterior descrita por Karhu et al. (1981) también muestra el uso del método como soporte para modificar situaciones de trabajo. En la presente investigación, la utilidad del método radica precisamente en conectar la clasificación observada con decisiones concretas de rediseño.</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El componente organizacional también resulta relevante. La presencia de esperas no fue interpretada como un problema individual, sino como consecuencia de una secuencia en la que la disponibilidad de producto intermedio determina la posibilidad de actuar de los puestos posteriores. Esta lectura es consistente con un enfoque de sistemas de trabajo, en el que las tareas y la organización se consideran junto con las capacidades y limitaciones de las personas. La propuesta, por tanto, combina modificaciones físicas con una reorganización del método.</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El diseño antropométrico constituye otro elemento de integración. La utilización de percentiles diferentes según la dimensión permite considerar la variabilidad de la población trabajadora y evita diseñar exclusivamente para un trabajador promedio. En el caso analizado, la altura de 96 cm para las superficies de trabajo de pie y las dimensiones propuestas para los puestos sentados se utilizaron como base para mejorar la compatibilidad entre persona, mobiliario y tarea.</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lastRenderedPageBreak/>
        <w:t>La investigación tiene un límite que debe hacerse explícito: la propuesta no fue acompañada de una medición experimental posterior que permita cuantificar la reducción efectiva de riesgo, el incremento de productividad o el impacto económico. Por ello, expresiones como “mejora”, “reducción” o “favorece” se utilizan para describir el sentido del diseño propuesto y los mecanismos esperados, no como resultados medidos después de su implantación. Una fase posterior de validación debería repetir las evaluaciones ergonómicas y establecer indicadores de desempeño antes y después.</w:t>
      </w:r>
    </w:p>
    <w:p w:rsidR="001834E6" w:rsidRPr="005A4CF5" w:rsidRDefault="002B4131" w:rsidP="005A4CF5">
      <w:pPr>
        <w:pStyle w:val="Heading1"/>
        <w:spacing w:before="0" w:line="360" w:lineRule="auto"/>
        <w:jc w:val="both"/>
        <w:rPr>
          <w:rFonts w:ascii="Arial" w:hAnsi="Arial" w:cs="Arial"/>
          <w:color w:val="auto"/>
          <w:sz w:val="24"/>
          <w:szCs w:val="24"/>
          <w:lang w:val="es-MX"/>
        </w:rPr>
      </w:pPr>
      <w:r w:rsidRPr="005A4CF5">
        <w:rPr>
          <w:rFonts w:ascii="Arial" w:hAnsi="Arial" w:cs="Arial"/>
          <w:color w:val="auto"/>
          <w:sz w:val="24"/>
          <w:szCs w:val="24"/>
          <w:lang w:val="es-MX"/>
        </w:rPr>
        <w:t>Sostenibilidad del sistema productivo desde la dimensión humana y organizacional</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La relación con la sostenibilidad se establece en esta investigación desde la dimensión humana y organizacional del sistema productivo. La guía conjunta de la OIT y la IEA plantea que la ergonomía y los factores humanos deben contribuir a sistemas de trabajo seguros, saludables y sostenibles, integrando aspectos físicos, cognitivos y organizativos y considerando simultáneamente el bienestar de los trabajadores y el desempeño de la organización (ILO &amp; IEA, 2021).</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En el caso estudiado, la sostenibilidad se expresa en la búsqueda de condiciones de trabajo que puedan mantenerse sin trasladar al trabajador cargas físicas innecesarias, así como en una organización que disminuya dependencias y esperas evitables. El rediseño de las mesas, la aproximación de los envases al área de alcance, la organización bilateral de los movimientos y la revisión de la secuencia de operaciones constituyen medidas orientadas a sostener el funcionamiento del sistema de trabajo en mejores condiciones humanas y organizativas.</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Esta interpretación no implica afirmar que la intervención haya demostrado ahorros energéticos, reducción de emisiones, disminución de residuos, reducción de costos o incremento porcentual de productividad. Ninguno de esos indicadores fue medido en la investigación de base. La contribución a la sostenibilidad se limita, por tanto, a la dimensión humana, ergonómica y organizacional que puede ser sustentada por los resultados obtenidos y por el enfoque de sistemas de trabajo.</w:t>
      </w:r>
    </w:p>
    <w:p w:rsidR="001834E6" w:rsidRPr="005A4CF5" w:rsidRDefault="002B4131" w:rsidP="005A4CF5">
      <w:pPr>
        <w:pStyle w:val="Heading1"/>
        <w:spacing w:before="0" w:line="360" w:lineRule="auto"/>
        <w:jc w:val="both"/>
        <w:rPr>
          <w:rFonts w:ascii="Arial" w:hAnsi="Arial" w:cs="Arial"/>
          <w:sz w:val="24"/>
          <w:szCs w:val="24"/>
          <w:lang w:val="es-MX"/>
        </w:rPr>
      </w:pPr>
      <w:r w:rsidRPr="005A4CF5">
        <w:rPr>
          <w:rFonts w:ascii="Arial" w:hAnsi="Arial" w:cs="Arial"/>
          <w:color w:val="auto"/>
          <w:sz w:val="24"/>
          <w:szCs w:val="24"/>
          <w:lang w:val="es-MX"/>
        </w:rPr>
        <w:t>Aporte científico, práctico y metodológico</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 xml:space="preserve">El aporte científico consiste en integrar herramientas de Ingeniería Industrial que pueden analizarse por separado —estudio de métodos, diagrama bimanual, coordinación de </w:t>
      </w:r>
      <w:r w:rsidRPr="005A4CF5">
        <w:rPr>
          <w:rFonts w:ascii="Arial" w:hAnsi="Arial" w:cs="Arial"/>
          <w:sz w:val="24"/>
          <w:szCs w:val="24"/>
          <w:lang w:val="es-MX"/>
        </w:rPr>
        <w:lastRenderedPageBreak/>
        <w:t>operaciones, evaluación OWAS y diseño antropométrico— para interpretar conjuntamente la relación entre condiciones de trabajo y organización del proceso.</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El aporte práctico se concreta en una propuesta de rediseño que incluye dimensiones específicas de mesas y sillas, una mesa auxiliar tipo tijera de 96 cm y un nuevo método de llenado por tandas de 10 pomos. La propuesta se dirige a problemas observados en el área de estudio y puede servir como base para una futura implementación y validación.</w:t>
      </w:r>
    </w:p>
    <w:p w:rsidR="001834E6" w:rsidRPr="005A4CF5" w:rsidRDefault="002B4131" w:rsidP="005A4CF5">
      <w:pPr>
        <w:spacing w:after="0" w:line="360" w:lineRule="auto"/>
        <w:jc w:val="both"/>
        <w:rPr>
          <w:rFonts w:ascii="Arial" w:hAnsi="Arial" w:cs="Arial"/>
          <w:sz w:val="24"/>
          <w:szCs w:val="24"/>
          <w:lang w:val="es-MX"/>
        </w:rPr>
      </w:pPr>
      <w:r w:rsidRPr="005A4CF5">
        <w:rPr>
          <w:rFonts w:ascii="Arial" w:hAnsi="Arial" w:cs="Arial"/>
          <w:sz w:val="24"/>
          <w:szCs w:val="24"/>
          <w:lang w:val="es-MX"/>
        </w:rPr>
        <w:t>El aporte metodológico radica en la posibilidad de transferir la secuencia de diagnóstico e intervención a otros procesos con características semejantes: observar el método, identificar desbalances y posturas críticas, analizar la coordinación, incorporar criterios antropométricos y modificar el puesto junto con la organización de las tareas. La transferencia requiere, en cada caso, repetir el diagnóstico y no asumir que las mismas soluciones son aplicables sin adaptación.</w:t>
      </w:r>
    </w:p>
    <w:p w:rsidR="001834E6" w:rsidRPr="005A4CF5" w:rsidRDefault="002B4131" w:rsidP="005A4CF5">
      <w:pPr>
        <w:pStyle w:val="Heading1"/>
        <w:spacing w:before="0" w:line="360" w:lineRule="auto"/>
        <w:jc w:val="both"/>
        <w:rPr>
          <w:rFonts w:ascii="Arial" w:hAnsi="Arial" w:cs="Arial"/>
          <w:color w:val="auto"/>
          <w:sz w:val="24"/>
          <w:szCs w:val="24"/>
          <w:lang w:val="es-MX"/>
        </w:rPr>
      </w:pPr>
      <w:r w:rsidRPr="005A4CF5">
        <w:rPr>
          <w:rFonts w:ascii="Arial" w:hAnsi="Arial" w:cs="Arial"/>
          <w:color w:val="auto"/>
          <w:sz w:val="24"/>
          <w:szCs w:val="24"/>
          <w:lang w:val="es-MX"/>
        </w:rPr>
        <w:t>Conclusiones</w:t>
      </w:r>
    </w:p>
    <w:p w:rsidR="003A11CA" w:rsidRDefault="002B4131" w:rsidP="005A4CF5">
      <w:pPr>
        <w:pStyle w:val="ListParagraph"/>
        <w:numPr>
          <w:ilvl w:val="0"/>
          <w:numId w:val="10"/>
        </w:numPr>
        <w:spacing w:after="0" w:line="360" w:lineRule="auto"/>
        <w:jc w:val="both"/>
        <w:rPr>
          <w:rFonts w:ascii="Arial" w:hAnsi="Arial" w:cs="Arial"/>
          <w:sz w:val="24"/>
          <w:szCs w:val="24"/>
          <w:lang w:val="es-MX"/>
        </w:rPr>
      </w:pPr>
      <w:r w:rsidRPr="003A11CA">
        <w:rPr>
          <w:rFonts w:ascii="Arial" w:hAnsi="Arial" w:cs="Arial"/>
          <w:sz w:val="24"/>
          <w:szCs w:val="24"/>
          <w:lang w:val="es-MX"/>
        </w:rPr>
        <w:t>El diagnóstico realizado en el área de llenado de pomos PET evidenció que las condiciones ergonómicas, la organización espacial y la secuencia de trabajo están relacionadas con problemas de postura, carga física y coordinación entre operaciones. Las principales situaciones identificadas fueron las flexiones y torsiones del tronco, la ubicación poco favorable de los envases, las condiciones inadecuadas del mobiliario y la manipulación manual de cargas.</w:t>
      </w:r>
    </w:p>
    <w:p w:rsidR="003A11CA" w:rsidRDefault="002B4131" w:rsidP="005A4CF5">
      <w:pPr>
        <w:pStyle w:val="ListParagraph"/>
        <w:numPr>
          <w:ilvl w:val="0"/>
          <w:numId w:val="10"/>
        </w:numPr>
        <w:spacing w:after="0" w:line="360" w:lineRule="auto"/>
        <w:jc w:val="both"/>
        <w:rPr>
          <w:rFonts w:ascii="Arial" w:hAnsi="Arial" w:cs="Arial"/>
          <w:sz w:val="24"/>
          <w:szCs w:val="24"/>
          <w:lang w:val="es-MX"/>
        </w:rPr>
      </w:pPr>
      <w:r w:rsidRPr="003A11CA">
        <w:rPr>
          <w:rFonts w:ascii="Arial" w:hAnsi="Arial" w:cs="Arial"/>
          <w:sz w:val="24"/>
          <w:szCs w:val="24"/>
          <w:lang w:val="es-MX"/>
        </w:rPr>
        <w:t>El análisis mediante el diagrama bimanual y el diagrama de coordinación permitió identificar desequilibrios en la participación de ambas manos y tiempos de espera asociados a la dependencia entre llenado, tapado, etiquetado y embalaje. El método actual registró 32 movimientos por mano en una unidad de análisis correspondiente a una caja de ron.</w:t>
      </w:r>
    </w:p>
    <w:p w:rsidR="003A11CA" w:rsidRDefault="002B4131" w:rsidP="005A4CF5">
      <w:pPr>
        <w:pStyle w:val="ListParagraph"/>
        <w:numPr>
          <w:ilvl w:val="0"/>
          <w:numId w:val="10"/>
        </w:numPr>
        <w:spacing w:after="0" w:line="360" w:lineRule="auto"/>
        <w:jc w:val="both"/>
        <w:rPr>
          <w:rFonts w:ascii="Arial" w:hAnsi="Arial" w:cs="Arial"/>
          <w:sz w:val="24"/>
          <w:szCs w:val="24"/>
          <w:lang w:val="es-MX"/>
        </w:rPr>
      </w:pPr>
      <w:r w:rsidRPr="003A11CA">
        <w:rPr>
          <w:rFonts w:ascii="Arial" w:hAnsi="Arial" w:cs="Arial"/>
          <w:sz w:val="24"/>
          <w:szCs w:val="24"/>
          <w:lang w:val="es-MX"/>
        </w:rPr>
        <w:t>La evaluación OWAS clasificó el puesto de llenador en categoría de acción 3 y el del transportista en categoría 4, mientras que el puesto de tapado/etiquetado presentó categoría de acción 1. En el llenador se observó aproximadamente un 40 % del tiempo con la postura de giro y ligera flexión del tronco; en el transportista, la manipulación de cargas pesadas se vinculó aproximadamente con el 30 % del tiempo observado.</w:t>
      </w:r>
    </w:p>
    <w:p w:rsidR="003A11CA" w:rsidRDefault="002B4131" w:rsidP="005A4CF5">
      <w:pPr>
        <w:pStyle w:val="ListParagraph"/>
        <w:numPr>
          <w:ilvl w:val="0"/>
          <w:numId w:val="10"/>
        </w:numPr>
        <w:spacing w:after="0" w:line="360" w:lineRule="auto"/>
        <w:jc w:val="both"/>
        <w:rPr>
          <w:rFonts w:ascii="Arial" w:hAnsi="Arial" w:cs="Arial"/>
          <w:sz w:val="24"/>
          <w:szCs w:val="24"/>
          <w:lang w:val="es-MX"/>
        </w:rPr>
      </w:pPr>
      <w:r w:rsidRPr="003A11CA">
        <w:rPr>
          <w:rFonts w:ascii="Arial" w:hAnsi="Arial" w:cs="Arial"/>
          <w:sz w:val="24"/>
          <w:szCs w:val="24"/>
          <w:lang w:val="es-MX"/>
        </w:rPr>
        <w:lastRenderedPageBreak/>
        <w:t>El rediseño antropométrico propuesto incorpora una mesa auxiliar tipo tijera y una mesa de llenado de 96 cm, además de dimensiones específicas para los puestos sentados, sustentadas en criterios antropométricos de la población laboral cubana utilizados en la investigación. Estas medidas responden a las deficiencias de diseño identificadas y constituyen la base física de la intervención.</w:t>
      </w:r>
    </w:p>
    <w:p w:rsidR="003A11CA" w:rsidRDefault="002B4131" w:rsidP="005A4CF5">
      <w:pPr>
        <w:pStyle w:val="ListParagraph"/>
        <w:numPr>
          <w:ilvl w:val="0"/>
          <w:numId w:val="10"/>
        </w:numPr>
        <w:spacing w:after="0" w:line="360" w:lineRule="auto"/>
        <w:jc w:val="both"/>
        <w:rPr>
          <w:rFonts w:ascii="Arial" w:hAnsi="Arial" w:cs="Arial"/>
          <w:sz w:val="24"/>
          <w:szCs w:val="24"/>
          <w:lang w:val="es-MX"/>
        </w:rPr>
      </w:pPr>
      <w:r w:rsidRPr="003A11CA">
        <w:rPr>
          <w:rFonts w:ascii="Arial" w:hAnsi="Arial" w:cs="Arial"/>
          <w:sz w:val="24"/>
          <w:szCs w:val="24"/>
          <w:lang w:val="es-MX"/>
        </w:rPr>
        <w:t>El nuevo método organiza el llenado en tandas de 10 pomos y registra 25 movimientos para cada mano dentro de esa nueva unidad de análisis. La igualdad de movimientos entre ambas manos y la nueva disposición de los envases permiten plantear un método más simétrico y organizado; sin embargo, no corresponde expresar una reducción porcentual respecto al método anterior porque las unidades de análisis son diferentes.</w:t>
      </w:r>
    </w:p>
    <w:p w:rsidR="001834E6" w:rsidRPr="003A11CA" w:rsidRDefault="002B4131" w:rsidP="005A4CF5">
      <w:pPr>
        <w:pStyle w:val="ListParagraph"/>
        <w:numPr>
          <w:ilvl w:val="0"/>
          <w:numId w:val="10"/>
        </w:numPr>
        <w:spacing w:after="0" w:line="360" w:lineRule="auto"/>
        <w:jc w:val="both"/>
        <w:rPr>
          <w:rFonts w:ascii="Arial" w:hAnsi="Arial" w:cs="Arial"/>
          <w:sz w:val="24"/>
          <w:szCs w:val="24"/>
          <w:lang w:val="es-MX"/>
        </w:rPr>
      </w:pPr>
      <w:r w:rsidRPr="003A11CA">
        <w:rPr>
          <w:rFonts w:ascii="Arial" w:hAnsi="Arial" w:cs="Arial"/>
          <w:sz w:val="24"/>
          <w:szCs w:val="24"/>
          <w:lang w:val="es-MX"/>
        </w:rPr>
        <w:t>La intervención integra ergonomía, estudio de métodos, diseño de puestos y organización del trabajo, por lo que su principal contribución a la sostenibilidad se sitúa en la dimensión humana y organizacional del sistema productivo. La investigación no cuantificó efectos económicos, energéticos o ambientales, ni validó experimentalmente el desempeño posterior a la implementación.</w:t>
      </w:r>
    </w:p>
    <w:p w:rsidR="001834E6" w:rsidRPr="003A11CA" w:rsidRDefault="002B4131" w:rsidP="005A4CF5">
      <w:pPr>
        <w:pStyle w:val="Heading1"/>
        <w:spacing w:before="0" w:line="360" w:lineRule="auto"/>
        <w:jc w:val="both"/>
        <w:rPr>
          <w:rFonts w:ascii="Arial" w:hAnsi="Arial" w:cs="Arial"/>
          <w:color w:val="auto"/>
          <w:sz w:val="24"/>
          <w:szCs w:val="24"/>
          <w:lang w:val="es-MX"/>
        </w:rPr>
      </w:pPr>
      <w:r w:rsidRPr="003A11CA">
        <w:rPr>
          <w:rFonts w:ascii="Arial" w:hAnsi="Arial" w:cs="Arial"/>
          <w:color w:val="auto"/>
          <w:sz w:val="24"/>
          <w:szCs w:val="24"/>
          <w:lang w:val="es-MX"/>
        </w:rPr>
        <w:t>Recomendaciones</w:t>
      </w:r>
    </w:p>
    <w:p w:rsidR="003A11CA" w:rsidRDefault="002B4131" w:rsidP="005A4CF5">
      <w:pPr>
        <w:pStyle w:val="ListParagraph"/>
        <w:numPr>
          <w:ilvl w:val="0"/>
          <w:numId w:val="11"/>
        </w:numPr>
        <w:spacing w:after="0" w:line="360" w:lineRule="auto"/>
        <w:jc w:val="both"/>
        <w:rPr>
          <w:rFonts w:ascii="Arial" w:hAnsi="Arial" w:cs="Arial"/>
          <w:sz w:val="24"/>
          <w:szCs w:val="24"/>
          <w:lang w:val="es-MX"/>
        </w:rPr>
      </w:pPr>
      <w:r w:rsidRPr="003A11CA">
        <w:rPr>
          <w:rFonts w:ascii="Arial" w:hAnsi="Arial" w:cs="Arial"/>
          <w:sz w:val="24"/>
          <w:szCs w:val="24"/>
          <w:lang w:val="es-MX"/>
        </w:rPr>
        <w:t>Implementar progresivamente las modificaciones propuestas en el área de llenado, priorizando las intervenciones asociadas a los puestos con categorías OWAS 3 y 4.</w:t>
      </w:r>
    </w:p>
    <w:p w:rsidR="003A11CA" w:rsidRDefault="002B4131" w:rsidP="005A4CF5">
      <w:pPr>
        <w:pStyle w:val="ListParagraph"/>
        <w:numPr>
          <w:ilvl w:val="0"/>
          <w:numId w:val="11"/>
        </w:numPr>
        <w:spacing w:after="0" w:line="360" w:lineRule="auto"/>
        <w:jc w:val="both"/>
        <w:rPr>
          <w:rFonts w:ascii="Arial" w:hAnsi="Arial" w:cs="Arial"/>
          <w:sz w:val="24"/>
          <w:szCs w:val="24"/>
          <w:lang w:val="es-MX"/>
        </w:rPr>
      </w:pPr>
      <w:r w:rsidRPr="003A11CA">
        <w:rPr>
          <w:rFonts w:ascii="Arial" w:hAnsi="Arial" w:cs="Arial"/>
          <w:sz w:val="24"/>
          <w:szCs w:val="24"/>
          <w:lang w:val="es-MX"/>
        </w:rPr>
        <w:t>Utilizar mesas ajustables o con dimensiones compatibles con los criterios antropométricos definidos para la población laboral considerada y sustituir progresivamente el mobiliario no ergonómico de los puestos sentados.</w:t>
      </w:r>
    </w:p>
    <w:p w:rsidR="003A11CA" w:rsidRDefault="002B4131" w:rsidP="005A4CF5">
      <w:pPr>
        <w:pStyle w:val="ListParagraph"/>
        <w:numPr>
          <w:ilvl w:val="0"/>
          <w:numId w:val="11"/>
        </w:numPr>
        <w:spacing w:after="0" w:line="360" w:lineRule="auto"/>
        <w:jc w:val="both"/>
        <w:rPr>
          <w:rFonts w:ascii="Arial" w:hAnsi="Arial" w:cs="Arial"/>
          <w:sz w:val="24"/>
          <w:szCs w:val="24"/>
          <w:lang w:val="es-MX"/>
        </w:rPr>
      </w:pPr>
      <w:r w:rsidRPr="003A11CA">
        <w:rPr>
          <w:rFonts w:ascii="Arial" w:hAnsi="Arial" w:cs="Arial"/>
          <w:sz w:val="24"/>
          <w:szCs w:val="24"/>
          <w:lang w:val="es-MX"/>
        </w:rPr>
        <w:t>Evaluar la incorporación de ayudas mecánicas o medios de transferencia que disminuyan el transporte manual de los pomos entre operaciones.</w:t>
      </w:r>
    </w:p>
    <w:p w:rsidR="003A11CA" w:rsidRDefault="002B4131" w:rsidP="005A4CF5">
      <w:pPr>
        <w:pStyle w:val="ListParagraph"/>
        <w:numPr>
          <w:ilvl w:val="0"/>
          <w:numId w:val="11"/>
        </w:numPr>
        <w:spacing w:after="0" w:line="360" w:lineRule="auto"/>
        <w:jc w:val="both"/>
        <w:rPr>
          <w:rFonts w:ascii="Arial" w:hAnsi="Arial" w:cs="Arial"/>
          <w:sz w:val="24"/>
          <w:szCs w:val="24"/>
          <w:lang w:val="es-MX"/>
        </w:rPr>
      </w:pPr>
      <w:r w:rsidRPr="003A11CA">
        <w:rPr>
          <w:rFonts w:ascii="Arial" w:hAnsi="Arial" w:cs="Arial"/>
          <w:sz w:val="24"/>
          <w:szCs w:val="24"/>
          <w:lang w:val="es-MX"/>
        </w:rPr>
        <w:t>Capacitar a los trabajadores en principios básicos de ergonomía, economía de movimientos y uso adecuado de las nuevas condiciones de trabajo.</w:t>
      </w:r>
    </w:p>
    <w:p w:rsidR="003A11CA" w:rsidRDefault="002B4131" w:rsidP="005A4CF5">
      <w:pPr>
        <w:pStyle w:val="ListParagraph"/>
        <w:numPr>
          <w:ilvl w:val="0"/>
          <w:numId w:val="11"/>
        </w:numPr>
        <w:spacing w:after="0" w:line="360" w:lineRule="auto"/>
        <w:jc w:val="both"/>
        <w:rPr>
          <w:rFonts w:ascii="Arial" w:hAnsi="Arial" w:cs="Arial"/>
          <w:sz w:val="24"/>
          <w:szCs w:val="24"/>
          <w:lang w:val="es-MX"/>
        </w:rPr>
      </w:pPr>
      <w:r w:rsidRPr="003A11CA">
        <w:rPr>
          <w:rFonts w:ascii="Arial" w:hAnsi="Arial" w:cs="Arial"/>
          <w:sz w:val="24"/>
          <w:szCs w:val="24"/>
          <w:lang w:val="es-MX"/>
        </w:rPr>
        <w:t>Realizar evaluaciones ergonómicas periódicas y repetir el análisis OWAS después de la implementación para verificar los cambios alcanzados.</w:t>
      </w:r>
    </w:p>
    <w:p w:rsidR="003A11CA" w:rsidRDefault="002B4131" w:rsidP="005A4CF5">
      <w:pPr>
        <w:pStyle w:val="ListParagraph"/>
        <w:numPr>
          <w:ilvl w:val="0"/>
          <w:numId w:val="11"/>
        </w:numPr>
        <w:spacing w:after="0" w:line="360" w:lineRule="auto"/>
        <w:jc w:val="both"/>
        <w:rPr>
          <w:rFonts w:ascii="Arial" w:hAnsi="Arial" w:cs="Arial"/>
          <w:sz w:val="24"/>
          <w:szCs w:val="24"/>
          <w:lang w:val="es-MX"/>
        </w:rPr>
      </w:pPr>
      <w:r w:rsidRPr="003A11CA">
        <w:rPr>
          <w:rFonts w:ascii="Arial" w:hAnsi="Arial" w:cs="Arial"/>
          <w:sz w:val="24"/>
          <w:szCs w:val="24"/>
          <w:lang w:val="es-MX"/>
        </w:rPr>
        <w:lastRenderedPageBreak/>
        <w:t>Extender la metodología de diagnóstico a otras áreas del proceso productivo, adaptando las soluciones a las características específicas de cada puesto y operación.</w:t>
      </w:r>
    </w:p>
    <w:p w:rsidR="001834E6" w:rsidRPr="003A11CA" w:rsidRDefault="002B4131" w:rsidP="005A4CF5">
      <w:pPr>
        <w:pStyle w:val="ListParagraph"/>
        <w:numPr>
          <w:ilvl w:val="0"/>
          <w:numId w:val="11"/>
        </w:numPr>
        <w:spacing w:after="0" w:line="360" w:lineRule="auto"/>
        <w:jc w:val="both"/>
        <w:rPr>
          <w:rFonts w:ascii="Arial" w:hAnsi="Arial" w:cs="Arial"/>
          <w:sz w:val="24"/>
          <w:szCs w:val="24"/>
          <w:lang w:val="es-MX"/>
        </w:rPr>
      </w:pPr>
      <w:r w:rsidRPr="003A11CA">
        <w:rPr>
          <w:rFonts w:ascii="Arial" w:hAnsi="Arial" w:cs="Arial"/>
          <w:sz w:val="24"/>
          <w:szCs w:val="24"/>
          <w:lang w:val="es-MX"/>
        </w:rPr>
        <w:t>Establecer, en una etapa posterior, indicadores cuantitativos de desempeño y ergonomía que permitan comparar la situación inicial con los resultados obtenidos después de implementar las mejoras.</w:t>
      </w:r>
    </w:p>
    <w:p w:rsidR="001834E6" w:rsidRPr="003A11CA" w:rsidRDefault="002B4131" w:rsidP="005A4CF5">
      <w:pPr>
        <w:pStyle w:val="Heading1"/>
        <w:spacing w:before="0" w:line="360" w:lineRule="auto"/>
        <w:jc w:val="both"/>
        <w:rPr>
          <w:rFonts w:ascii="Arial" w:hAnsi="Arial" w:cs="Arial"/>
          <w:color w:val="auto"/>
          <w:sz w:val="24"/>
          <w:szCs w:val="24"/>
        </w:rPr>
      </w:pPr>
      <w:r w:rsidRPr="003A11CA">
        <w:rPr>
          <w:rFonts w:ascii="Arial" w:hAnsi="Arial" w:cs="Arial"/>
          <w:color w:val="auto"/>
          <w:sz w:val="24"/>
          <w:szCs w:val="24"/>
        </w:rPr>
        <w:t>Referencias bibliográficas</w:t>
      </w:r>
    </w:p>
    <w:p w:rsidR="001834E6" w:rsidRPr="005A4CF5" w:rsidRDefault="002B4131" w:rsidP="005A4CF5">
      <w:pPr>
        <w:spacing w:after="0" w:line="360" w:lineRule="auto"/>
        <w:jc w:val="both"/>
        <w:rPr>
          <w:rFonts w:ascii="Arial" w:hAnsi="Arial" w:cs="Arial"/>
          <w:sz w:val="24"/>
          <w:szCs w:val="24"/>
        </w:rPr>
      </w:pPr>
      <w:r w:rsidRPr="005A4CF5">
        <w:rPr>
          <w:rFonts w:ascii="Arial" w:hAnsi="Arial" w:cs="Arial"/>
          <w:sz w:val="24"/>
          <w:szCs w:val="24"/>
        </w:rPr>
        <w:t xml:space="preserve">International Labour Organization. (2024). </w:t>
      </w:r>
      <w:r w:rsidRPr="003A11CA">
        <w:rPr>
          <w:rFonts w:ascii="Arial" w:hAnsi="Arial" w:cs="Arial"/>
          <w:i/>
          <w:sz w:val="24"/>
          <w:szCs w:val="24"/>
        </w:rPr>
        <w:t>Human factors and ergonomics (HFE).</w:t>
      </w:r>
      <w:r w:rsidRPr="005A4CF5">
        <w:rPr>
          <w:rFonts w:ascii="Arial" w:hAnsi="Arial" w:cs="Arial"/>
          <w:sz w:val="24"/>
          <w:szCs w:val="24"/>
        </w:rPr>
        <w:t xml:space="preserve"> https://www.ilo.org/ergonomics</w:t>
      </w:r>
    </w:p>
    <w:p w:rsidR="001834E6" w:rsidRPr="003A11CA" w:rsidRDefault="002B4131" w:rsidP="005A4CF5">
      <w:pPr>
        <w:spacing w:after="0" w:line="360" w:lineRule="auto"/>
        <w:jc w:val="both"/>
        <w:rPr>
          <w:rFonts w:ascii="Arial" w:hAnsi="Arial" w:cs="Arial"/>
          <w:i/>
          <w:sz w:val="24"/>
          <w:szCs w:val="24"/>
        </w:rPr>
      </w:pPr>
      <w:r w:rsidRPr="005A4CF5">
        <w:rPr>
          <w:rFonts w:ascii="Arial" w:hAnsi="Arial" w:cs="Arial"/>
          <w:sz w:val="24"/>
          <w:szCs w:val="24"/>
        </w:rPr>
        <w:t xml:space="preserve">International Labour Organization, &amp; International Ergonomics Association. (2021). </w:t>
      </w:r>
      <w:r w:rsidRPr="003A11CA">
        <w:rPr>
          <w:rFonts w:ascii="Arial" w:hAnsi="Arial" w:cs="Arial"/>
          <w:i/>
          <w:sz w:val="24"/>
          <w:szCs w:val="24"/>
        </w:rPr>
        <w:t>Principles and guidelines for human factors/ergonomics (HFE) design and management of work systems. International Labour Organization.</w:t>
      </w:r>
    </w:p>
    <w:p w:rsidR="001834E6" w:rsidRPr="005A4CF5" w:rsidRDefault="002B4131" w:rsidP="005A4CF5">
      <w:pPr>
        <w:spacing w:after="0" w:line="360" w:lineRule="auto"/>
        <w:jc w:val="both"/>
        <w:rPr>
          <w:rFonts w:ascii="Arial" w:hAnsi="Arial" w:cs="Arial"/>
          <w:sz w:val="24"/>
          <w:szCs w:val="24"/>
        </w:rPr>
      </w:pPr>
      <w:r w:rsidRPr="005A4CF5">
        <w:rPr>
          <w:rFonts w:ascii="Arial" w:hAnsi="Arial" w:cs="Arial"/>
          <w:sz w:val="24"/>
          <w:szCs w:val="24"/>
        </w:rPr>
        <w:t xml:space="preserve">Karhu, O., Kansi, P., &amp; Kuorinka, I. (1977). </w:t>
      </w:r>
      <w:r w:rsidRPr="003A11CA">
        <w:rPr>
          <w:rFonts w:ascii="Arial" w:hAnsi="Arial" w:cs="Arial"/>
          <w:i/>
          <w:sz w:val="24"/>
          <w:szCs w:val="24"/>
        </w:rPr>
        <w:t>Correcting working postures in industry: A practical method for analysis. Applied Ergonomics,</w:t>
      </w:r>
      <w:r w:rsidRPr="005A4CF5">
        <w:rPr>
          <w:rFonts w:ascii="Arial" w:hAnsi="Arial" w:cs="Arial"/>
          <w:sz w:val="24"/>
          <w:szCs w:val="24"/>
        </w:rPr>
        <w:t xml:space="preserve"> </w:t>
      </w:r>
      <w:r w:rsidRPr="003A11CA">
        <w:rPr>
          <w:rFonts w:ascii="Arial" w:hAnsi="Arial" w:cs="Arial"/>
          <w:i/>
          <w:sz w:val="24"/>
          <w:szCs w:val="24"/>
        </w:rPr>
        <w:t>8</w:t>
      </w:r>
      <w:r w:rsidRPr="005A4CF5">
        <w:rPr>
          <w:rFonts w:ascii="Arial" w:hAnsi="Arial" w:cs="Arial"/>
          <w:sz w:val="24"/>
          <w:szCs w:val="24"/>
        </w:rPr>
        <w:t>(4), 199–201. https://doi.org/10.1016/0003-6870(77)90164-8</w:t>
      </w:r>
    </w:p>
    <w:p w:rsidR="001834E6" w:rsidRPr="005A4CF5" w:rsidRDefault="003A11CA" w:rsidP="005A4CF5">
      <w:pPr>
        <w:spacing w:after="0" w:line="360" w:lineRule="auto"/>
        <w:jc w:val="both"/>
        <w:rPr>
          <w:rFonts w:ascii="Arial" w:hAnsi="Arial" w:cs="Arial"/>
          <w:sz w:val="24"/>
          <w:szCs w:val="24"/>
          <w:lang w:val="es-MX"/>
        </w:rPr>
      </w:pPr>
      <w:r>
        <w:rPr>
          <w:rFonts w:ascii="Arial" w:hAnsi="Arial" w:cs="Arial"/>
          <w:sz w:val="24"/>
          <w:szCs w:val="24"/>
        </w:rPr>
        <w:t>Karhu, O., H</w:t>
      </w:r>
      <w:r>
        <w:rPr>
          <w:rFonts w:ascii="Arial" w:hAnsi="Arial" w:cs="Arial"/>
          <w:sz w:val="24"/>
          <w:szCs w:val="24"/>
          <w:lang w:val="yo-NG"/>
        </w:rPr>
        <w:t>a</w:t>
      </w:r>
      <w:r>
        <w:rPr>
          <w:rFonts w:ascii="Arial" w:hAnsi="Arial" w:cs="Arial"/>
          <w:sz w:val="24"/>
          <w:szCs w:val="24"/>
        </w:rPr>
        <w:t>rk</w:t>
      </w:r>
      <w:r>
        <w:rPr>
          <w:rFonts w:ascii="Arial" w:hAnsi="Arial" w:cs="Arial"/>
          <w:sz w:val="24"/>
          <w:szCs w:val="24"/>
          <w:lang w:val="yo-NG"/>
        </w:rPr>
        <w:t>o</w:t>
      </w:r>
      <w:r>
        <w:rPr>
          <w:rFonts w:ascii="Arial" w:hAnsi="Arial" w:cs="Arial"/>
          <w:sz w:val="24"/>
          <w:szCs w:val="24"/>
        </w:rPr>
        <w:t>nen, R., Sorvali, P., &amp; Veps</w:t>
      </w:r>
      <w:r>
        <w:rPr>
          <w:rFonts w:ascii="Arial" w:hAnsi="Arial" w:cs="Arial"/>
          <w:sz w:val="24"/>
          <w:szCs w:val="24"/>
          <w:lang w:val="yo-NG"/>
        </w:rPr>
        <w:t>a</w:t>
      </w:r>
      <w:r>
        <w:rPr>
          <w:rFonts w:ascii="Arial" w:hAnsi="Arial" w:cs="Arial"/>
          <w:sz w:val="24"/>
          <w:szCs w:val="24"/>
        </w:rPr>
        <w:t>l</w:t>
      </w:r>
      <w:r>
        <w:rPr>
          <w:rFonts w:ascii="Arial" w:hAnsi="Arial" w:cs="Arial"/>
          <w:sz w:val="24"/>
          <w:szCs w:val="24"/>
          <w:lang w:val="yo-NG"/>
        </w:rPr>
        <w:t>a</w:t>
      </w:r>
      <w:r w:rsidR="002B4131" w:rsidRPr="005A4CF5">
        <w:rPr>
          <w:rFonts w:ascii="Arial" w:hAnsi="Arial" w:cs="Arial"/>
          <w:sz w:val="24"/>
          <w:szCs w:val="24"/>
        </w:rPr>
        <w:t xml:space="preserve">inen, P. (1981). </w:t>
      </w:r>
      <w:r w:rsidR="002B4131" w:rsidRPr="003A11CA">
        <w:rPr>
          <w:rFonts w:ascii="Arial" w:hAnsi="Arial" w:cs="Arial"/>
          <w:i/>
          <w:sz w:val="24"/>
          <w:szCs w:val="24"/>
        </w:rPr>
        <w:t xml:space="preserve">Observing working postures in industry: Examples of OWAS application. </w:t>
      </w:r>
      <w:r w:rsidR="002B4131" w:rsidRPr="003A11CA">
        <w:rPr>
          <w:rFonts w:ascii="Arial" w:hAnsi="Arial" w:cs="Arial"/>
          <w:i/>
          <w:sz w:val="24"/>
          <w:szCs w:val="24"/>
          <w:lang w:val="es-MX"/>
        </w:rPr>
        <w:t>Applied Ergonomics, 12</w:t>
      </w:r>
      <w:r w:rsidR="002B4131" w:rsidRPr="005A4CF5">
        <w:rPr>
          <w:rFonts w:ascii="Arial" w:hAnsi="Arial" w:cs="Arial"/>
          <w:sz w:val="24"/>
          <w:szCs w:val="24"/>
          <w:lang w:val="es-MX"/>
        </w:rPr>
        <w:t>(1), 13–17. https://doi.org/10.1016/0003-6870(81)90088-0</w:t>
      </w:r>
    </w:p>
    <w:p w:rsidR="001834E6" w:rsidRPr="003A11CA" w:rsidRDefault="002B4131" w:rsidP="005A4CF5">
      <w:pPr>
        <w:spacing w:after="0" w:line="360" w:lineRule="auto"/>
        <w:jc w:val="both"/>
        <w:rPr>
          <w:rFonts w:ascii="Arial" w:hAnsi="Arial" w:cs="Arial"/>
          <w:i/>
          <w:sz w:val="24"/>
          <w:szCs w:val="24"/>
          <w:lang w:val="es-MX"/>
        </w:rPr>
      </w:pPr>
      <w:r w:rsidRPr="005A4CF5">
        <w:rPr>
          <w:rFonts w:ascii="Arial" w:hAnsi="Arial" w:cs="Arial"/>
          <w:sz w:val="24"/>
          <w:szCs w:val="24"/>
          <w:lang w:val="es-MX"/>
        </w:rPr>
        <w:t xml:space="preserve">Rodríguez Tovar, A. E. (2025). </w:t>
      </w:r>
      <w:r w:rsidRPr="003A11CA">
        <w:rPr>
          <w:rFonts w:ascii="Arial" w:hAnsi="Arial" w:cs="Arial"/>
          <w:i/>
          <w:sz w:val="24"/>
          <w:szCs w:val="24"/>
          <w:lang w:val="es-MX"/>
        </w:rPr>
        <w:t>Estudio integral de riesgos ergonómicos asociados a las operaciones del proceso de fabricación de ron en EMBER C</w:t>
      </w:r>
      <w:r w:rsidR="003A11CA">
        <w:rPr>
          <w:rFonts w:ascii="Arial" w:hAnsi="Arial" w:cs="Arial"/>
          <w:i/>
          <w:sz w:val="24"/>
          <w:szCs w:val="24"/>
          <w:lang w:val="es-MX"/>
        </w:rPr>
        <w:t xml:space="preserve">ienfuegos </w:t>
      </w:r>
      <w:r w:rsidRPr="003A11CA">
        <w:rPr>
          <w:rFonts w:ascii="Arial" w:hAnsi="Arial" w:cs="Arial"/>
          <w:i/>
          <w:sz w:val="24"/>
          <w:szCs w:val="24"/>
          <w:lang w:val="es-MX"/>
        </w:rPr>
        <w:t>Trabajo de diploma, Universidad de Cienf</w:t>
      </w:r>
      <w:r w:rsidR="003A11CA">
        <w:rPr>
          <w:rFonts w:ascii="Arial" w:hAnsi="Arial" w:cs="Arial"/>
          <w:i/>
          <w:sz w:val="24"/>
          <w:szCs w:val="24"/>
          <w:lang w:val="es-MX"/>
        </w:rPr>
        <w:t>uegos “Carlos Rafael Rodríguez”</w:t>
      </w:r>
      <w:r w:rsidRPr="003A11CA">
        <w:rPr>
          <w:rFonts w:ascii="Arial" w:hAnsi="Arial" w:cs="Arial"/>
          <w:i/>
          <w:sz w:val="24"/>
          <w:szCs w:val="24"/>
          <w:lang w:val="es-MX"/>
        </w:rPr>
        <w:t>.</w:t>
      </w:r>
    </w:p>
    <w:sectPr w:rsidR="001834E6" w:rsidRPr="003A11CA" w:rsidSect="00034616">
      <w:footerReference w:type="default" r:id="rId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058" w:rsidRDefault="00F84058">
      <w:pPr>
        <w:spacing w:after="0" w:line="240" w:lineRule="auto"/>
      </w:pPr>
      <w:r>
        <w:separator/>
      </w:r>
    </w:p>
  </w:endnote>
  <w:endnote w:type="continuationSeparator" w:id="0">
    <w:p w:rsidR="00F84058" w:rsidRDefault="00F84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1" w:rsidRDefault="002B4131">
    <w:pPr>
      <w:pStyle w:val="Footer"/>
      <w:jc w:val="center"/>
    </w:pPr>
    <w:r>
      <w:t xml:space="preserve">Página </w:t>
    </w:r>
    <w:r>
      <w:fldChar w:fldCharType="begin"/>
    </w:r>
    <w:r>
      <w:instrText>PAGE</w:instrText>
    </w:r>
    <w:r>
      <w:fldChar w:fldCharType="separate"/>
    </w:r>
    <w:r w:rsidR="007732C0">
      <w:rPr>
        <w:noProof/>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058" w:rsidRDefault="00F84058">
      <w:pPr>
        <w:spacing w:after="0" w:line="240" w:lineRule="auto"/>
      </w:pPr>
      <w:r>
        <w:separator/>
      </w:r>
    </w:p>
  </w:footnote>
  <w:footnote w:type="continuationSeparator" w:id="0">
    <w:p w:rsidR="00F84058" w:rsidRDefault="00F840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A56F6E"/>
    <w:multiLevelType w:val="hybridMultilevel"/>
    <w:tmpl w:val="C8AC01D0"/>
    <w:lvl w:ilvl="0" w:tplc="7BCE291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E371643"/>
    <w:multiLevelType w:val="hybridMultilevel"/>
    <w:tmpl w:val="EE3639B2"/>
    <w:lvl w:ilvl="0" w:tplc="904AF2D8">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834E6"/>
    <w:rsid w:val="0029639D"/>
    <w:rsid w:val="002B4131"/>
    <w:rsid w:val="00326F90"/>
    <w:rsid w:val="003A11CA"/>
    <w:rsid w:val="005A4CF5"/>
    <w:rsid w:val="00631937"/>
    <w:rsid w:val="006B20A3"/>
    <w:rsid w:val="007732C0"/>
    <w:rsid w:val="007A0532"/>
    <w:rsid w:val="00AA1D8D"/>
    <w:rsid w:val="00B47730"/>
    <w:rsid w:val="00CB0664"/>
    <w:rsid w:val="00CD0EA6"/>
    <w:rsid w:val="00F840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53F0C8"/>
  <w14:defaultImageDpi w14:val="300"/>
  <w15:docId w15:val="{4051BB17-961C-496A-98B6-374D751BA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319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rtovar@ucf.edu.c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C68F5-4B12-4228-B6CC-7A12D559B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4986</Words>
  <Characters>27424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2</cp:revision>
  <dcterms:created xsi:type="dcterms:W3CDTF">2026-09-24T23:36:00Z</dcterms:created>
  <dcterms:modified xsi:type="dcterms:W3CDTF">2026-09-24T23:36:00Z</dcterms:modified>
  <cp:category/>
</cp:coreProperties>
</file>