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CCEAF" w14:textId="511DD90B" w:rsidR="00D877E2" w:rsidRDefault="00000000">
      <w:pPr>
        <w:jc w:val="center"/>
        <w:rPr>
          <w:rFonts w:ascii="Arial" w:hAnsi="Arial"/>
          <w:sz w:val="32"/>
          <w:szCs w:val="32"/>
        </w:rPr>
      </w:pPr>
      <w:r>
        <w:rPr>
          <w:rFonts w:ascii="Arial" w:hAnsi="Arial"/>
          <w:sz w:val="32"/>
          <w:szCs w:val="32"/>
        </w:rPr>
        <w:t>IV. Convención Científica Internacional de la Universidad de Cienfuegos</w:t>
      </w:r>
    </w:p>
    <w:p w14:paraId="5471B3D7" w14:textId="77777777" w:rsidR="00D877E2" w:rsidRDefault="00000000">
      <w:pPr>
        <w:jc w:val="center"/>
        <w:rPr>
          <w:rFonts w:ascii="Arial" w:hAnsi="Arial"/>
          <w:sz w:val="32"/>
          <w:szCs w:val="32"/>
        </w:rPr>
      </w:pPr>
      <w:r>
        <w:rPr>
          <w:rFonts w:ascii="Arial" w:hAnsi="Arial"/>
          <w:sz w:val="32"/>
          <w:szCs w:val="32"/>
        </w:rPr>
        <w:t>Ponencia</w:t>
      </w:r>
    </w:p>
    <w:p w14:paraId="290D15A6" w14:textId="77777777" w:rsidR="00D877E2"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hAnsi="Arial"/>
        </w:rPr>
      </w:pPr>
      <w:r>
        <w:rPr>
          <w:rFonts w:ascii="Arial" w:hAnsi="Arial" w:cs="Times New Roman"/>
          <w:b/>
          <w:lang w:val="es-ES"/>
        </w:rPr>
        <w:t>DISMINUCIÓN DE CONSUMOS DE AGUA UTILIZANDO HEUCARÍSTICAMENTE LA CIENCIA Y LA TÉCNICA EN FABRICA DE PRODUCTOS LÁCTEOS ¨LA VILLAREÑA¨.</w:t>
      </w:r>
    </w:p>
    <w:p w14:paraId="76045346" w14:textId="77777777" w:rsidR="00D877E2" w:rsidRDefault="00D877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b/>
          <w:lang w:val="es-ES" w:eastAsia="es-ES"/>
        </w:rPr>
      </w:pPr>
    </w:p>
    <w:p w14:paraId="1EFB99B2" w14:textId="77777777" w:rsidR="00D877E2" w:rsidRDefault="00000000">
      <w:pPr>
        <w:spacing w:after="0" w:line="240" w:lineRule="auto"/>
        <w:jc w:val="center"/>
        <w:rPr>
          <w:rFonts w:ascii="Arial" w:hAnsi="Arial"/>
        </w:rPr>
      </w:pPr>
      <w:r>
        <w:rPr>
          <w:rFonts w:ascii="Arial" w:hAnsi="Arial"/>
          <w:b/>
          <w:bCs/>
        </w:rPr>
        <w:t xml:space="preserve">Eje Temático:  Gestión del conocimiento y la innovación para el desarrollo local </w:t>
      </w:r>
    </w:p>
    <w:p w14:paraId="3543FF7B" w14:textId="77777777" w:rsidR="00D877E2" w:rsidRPr="00FC2DFA" w:rsidRDefault="00D877E2">
      <w:pPr>
        <w:spacing w:after="0" w:line="240" w:lineRule="auto"/>
        <w:jc w:val="center"/>
        <w:rPr>
          <w:rFonts w:ascii="Arial" w:hAnsi="Arial"/>
          <w:lang w:val="es-ES"/>
        </w:rPr>
      </w:pPr>
    </w:p>
    <w:p w14:paraId="0CACE5E8" w14:textId="77777777" w:rsidR="00D877E2" w:rsidRDefault="00000000">
      <w:pPr>
        <w:spacing w:after="0" w:line="240" w:lineRule="auto"/>
        <w:jc w:val="both"/>
      </w:pPr>
      <w:r w:rsidRPr="00FC2DFA">
        <w:rPr>
          <w:rFonts w:ascii="Arial" w:hAnsi="Arial" w:cs="Arial"/>
          <w:lang w:val="es-ES"/>
        </w:rPr>
        <w:t>Dianeya Morales Arboláez</w:t>
      </w:r>
      <w:r w:rsidRPr="00FC2DFA">
        <w:rPr>
          <w:rFonts w:ascii="Arial" w:hAnsi="Arial" w:cs="Arial"/>
          <w:vertAlign w:val="superscript"/>
          <w:lang w:val="es-ES"/>
        </w:rPr>
        <w:t>1</w:t>
      </w:r>
      <w:r w:rsidRPr="00FC2DFA">
        <w:rPr>
          <w:rFonts w:ascii="Arial" w:hAnsi="Arial" w:cs="Arial"/>
          <w:lang w:val="es-ES"/>
        </w:rPr>
        <w:t xml:space="preserve">, </w:t>
      </w:r>
      <w:proofErr w:type="spellStart"/>
      <w:r w:rsidRPr="00FC2DFA">
        <w:rPr>
          <w:rFonts w:ascii="Arial" w:hAnsi="Arial" w:cs="Arial"/>
          <w:lang w:val="es-ES"/>
        </w:rPr>
        <w:t>MSc</w:t>
      </w:r>
      <w:proofErr w:type="spellEnd"/>
      <w:r w:rsidRPr="00FC2DFA">
        <w:rPr>
          <w:rFonts w:ascii="Arial" w:hAnsi="Arial" w:cs="Arial"/>
          <w:lang w:val="es-ES"/>
        </w:rPr>
        <w:t xml:space="preserve">. Teléfono:53801978, </w:t>
      </w:r>
      <w:proofErr w:type="spellStart"/>
      <w:r w:rsidRPr="00FC2DFA">
        <w:rPr>
          <w:rFonts w:ascii="Arial" w:hAnsi="Arial" w:cs="Arial"/>
          <w:lang w:val="es-ES"/>
        </w:rPr>
        <w:t>Email:</w:t>
      </w:r>
      <w:hyperlink r:id="rId6">
        <w:r w:rsidRPr="00FC2DFA">
          <w:rPr>
            <w:rStyle w:val="Hipervnculo"/>
            <w:rFonts w:ascii="Arial" w:hAnsi="Arial" w:cs="Arial"/>
            <w:lang w:val="es-ES"/>
          </w:rPr>
          <w:t>dianeya@uclv.edu.cu</w:t>
        </w:r>
        <w:proofErr w:type="spellEnd"/>
      </w:hyperlink>
      <w:r w:rsidRPr="00FC2DFA">
        <w:rPr>
          <w:rFonts w:ascii="Arial" w:hAnsi="Arial" w:cs="Arial"/>
          <w:lang w:val="es-ES"/>
        </w:rPr>
        <w:t xml:space="preserve">, </w:t>
      </w:r>
    </w:p>
    <w:p w14:paraId="5FFCAF0D" w14:textId="77777777" w:rsidR="00D877E2" w:rsidRDefault="00000000">
      <w:pPr>
        <w:spacing w:after="0" w:line="240" w:lineRule="auto"/>
        <w:jc w:val="both"/>
        <w:rPr>
          <w:rFonts w:ascii="Arial" w:hAnsi="Arial"/>
        </w:rPr>
      </w:pPr>
      <w:r>
        <w:rPr>
          <w:rFonts w:ascii="Arial" w:hAnsi="Arial" w:cs="Arial"/>
          <w:lang w:val="es-ES_tradnl"/>
        </w:rPr>
        <w:t xml:space="preserve">Amaury Pérez Martínez </w:t>
      </w:r>
      <w:proofErr w:type="gramStart"/>
      <w:r>
        <w:rPr>
          <w:rFonts w:ascii="Arial" w:hAnsi="Arial" w:cs="Arial"/>
          <w:vertAlign w:val="superscript"/>
          <w:lang w:val="es-ES_tradnl"/>
        </w:rPr>
        <w:t>2</w:t>
      </w:r>
      <w:r>
        <w:rPr>
          <w:rFonts w:ascii="Arial" w:hAnsi="Arial" w:cs="Arial"/>
          <w:lang w:val="es-ES_tradnl"/>
        </w:rPr>
        <w:t>,Dr.C.</w:t>
      </w:r>
      <w:proofErr w:type="gramEnd"/>
      <w:r>
        <w:rPr>
          <w:rFonts w:ascii="Arial" w:hAnsi="Arial" w:cs="Arial"/>
          <w:lang w:val="es-ES_tradnl"/>
        </w:rPr>
        <w:t xml:space="preserve"> </w:t>
      </w:r>
      <w:r w:rsidRPr="00FC2DFA">
        <w:rPr>
          <w:rFonts w:ascii="Arial" w:hAnsi="Arial" w:cs="Arial"/>
          <w:lang w:val="es-ES"/>
        </w:rPr>
        <w:t>Teléfono:</w:t>
      </w:r>
      <w:r>
        <w:rPr>
          <w:rFonts w:ascii="Arial" w:hAnsi="Arial" w:cs="Arial"/>
          <w:lang w:val="es-ES_tradnl"/>
        </w:rPr>
        <w:t xml:space="preserve">59995629543, Email: amperez@uea.edu.ec  </w:t>
      </w:r>
    </w:p>
    <w:p w14:paraId="7BD46148" w14:textId="77777777" w:rsidR="00D877E2" w:rsidRDefault="00000000">
      <w:pPr>
        <w:spacing w:after="0" w:line="240" w:lineRule="auto"/>
        <w:jc w:val="both"/>
      </w:pPr>
      <w:r>
        <w:rPr>
          <w:rFonts w:ascii="Arial" w:eastAsia="SimSun" w:hAnsi="Arial" w:cs="Arial"/>
        </w:rPr>
        <w:t xml:space="preserve">Diana N. Concepción </w:t>
      </w:r>
      <w:proofErr w:type="spellStart"/>
      <w:r>
        <w:rPr>
          <w:rFonts w:ascii="Arial" w:eastAsia="SimSun" w:hAnsi="Arial" w:cs="Arial"/>
        </w:rPr>
        <w:t>Yoledo</w:t>
      </w:r>
      <w:proofErr w:type="spellEnd"/>
      <w:proofErr w:type="gramStart"/>
      <w:r>
        <w:rPr>
          <w:rFonts w:ascii="Arial" w:eastAsia="SimSun" w:hAnsi="Arial" w:cs="Arial"/>
          <w:vertAlign w:val="superscript"/>
          <w:lang w:val="es-ES_tradnl"/>
        </w:rPr>
        <w:t>3,,</w:t>
      </w:r>
      <w:proofErr w:type="gramEnd"/>
      <w:r>
        <w:rPr>
          <w:rFonts w:ascii="Arial" w:eastAsia="SimSun" w:hAnsi="Arial" w:cs="Arial"/>
          <w:vertAlign w:val="superscript"/>
          <w:lang w:val="es-ES_tradnl"/>
        </w:rPr>
        <w:t xml:space="preserve"> </w:t>
      </w:r>
      <w:proofErr w:type="spellStart"/>
      <w:r w:rsidRPr="00FC2DFA">
        <w:rPr>
          <w:rFonts w:ascii="Arial" w:eastAsia="SimSun" w:hAnsi="Arial" w:cs="Arial"/>
          <w:lang w:val="es-ES"/>
        </w:rPr>
        <w:t>Dr.</w:t>
      </w:r>
      <w:proofErr w:type="gramStart"/>
      <w:r w:rsidRPr="00FC2DFA">
        <w:rPr>
          <w:rFonts w:ascii="Arial" w:eastAsia="SimSun" w:hAnsi="Arial" w:cs="Arial"/>
          <w:lang w:val="es-ES"/>
        </w:rPr>
        <w:t>C,Teléfono</w:t>
      </w:r>
      <w:proofErr w:type="spellEnd"/>
      <w:proofErr w:type="gramEnd"/>
      <w:r w:rsidRPr="00FC2DFA">
        <w:rPr>
          <w:rFonts w:ascii="Arial" w:eastAsia="SimSun" w:hAnsi="Arial" w:cs="Arial"/>
          <w:lang w:val="es-ES"/>
        </w:rPr>
        <w:t>:</w:t>
      </w:r>
      <w:r>
        <w:rPr>
          <w:rFonts w:ascii="Arial" w:eastAsia="SimSun" w:hAnsi="Arial" w:cs="Arial"/>
        </w:rPr>
        <w:t xml:space="preserve">59983128,  </w:t>
      </w:r>
      <w:hyperlink r:id="rId7">
        <w:r>
          <w:rPr>
            <w:rStyle w:val="Hipervnculo"/>
            <w:rFonts w:ascii="Arial" w:eastAsia="SimSun" w:hAnsi="Arial" w:cs="Arial"/>
          </w:rPr>
          <w:t>dianac@uclv.edu.cu</w:t>
        </w:r>
      </w:hyperlink>
      <w:r>
        <w:rPr>
          <w:rFonts w:ascii="Arial" w:eastAsia="SimSun" w:hAnsi="Arial" w:cs="Arial"/>
        </w:rPr>
        <w:t>,</w:t>
      </w:r>
    </w:p>
    <w:p w14:paraId="1DA50603" w14:textId="77777777" w:rsidR="00D877E2" w:rsidRDefault="00000000">
      <w:r>
        <w:rPr>
          <w:rStyle w:val="Hipervnculo"/>
          <w:rFonts w:ascii="Arial" w:hAnsi="Arial"/>
          <w:color w:val="000000"/>
          <w:u w:val="none"/>
          <w:lang w:val="fr-FR"/>
        </w:rPr>
        <w:t>Erenio González Suárez</w:t>
      </w:r>
      <w:proofErr w:type="gramStart"/>
      <w:r>
        <w:rPr>
          <w:rStyle w:val="Hipervnculo"/>
          <w:rFonts w:ascii="Arial" w:hAnsi="Arial"/>
          <w:color w:val="000000"/>
          <w:u w:val="none"/>
          <w:vertAlign w:val="superscript"/>
          <w:lang w:val="fr-FR"/>
        </w:rPr>
        <w:t>2</w:t>
      </w:r>
      <w:r>
        <w:rPr>
          <w:rStyle w:val="Hipervnculo"/>
          <w:rFonts w:ascii="Arial" w:hAnsi="Arial"/>
          <w:color w:val="000000"/>
          <w:u w:val="none"/>
          <w:lang w:val="fr-FR"/>
        </w:rPr>
        <w:t>,*</w:t>
      </w:r>
      <w:proofErr w:type="gramEnd"/>
      <w:r>
        <w:rPr>
          <w:rStyle w:val="Hipervnculo"/>
          <w:rFonts w:ascii="Arial" w:hAnsi="Arial"/>
          <w:color w:val="000000"/>
          <w:u w:val="none"/>
          <w:lang w:val="fr-FR"/>
        </w:rPr>
        <w:t xml:space="preserve"> Dr. Cs. </w:t>
      </w:r>
      <w:proofErr w:type="spellStart"/>
      <w:r>
        <w:rPr>
          <w:rStyle w:val="Hipervnculo"/>
          <w:rFonts w:ascii="Arial" w:hAnsi="Arial"/>
          <w:color w:val="000000"/>
          <w:u w:val="none"/>
          <w:lang w:val="fr-FR"/>
        </w:rPr>
        <w:t>Teléfono</w:t>
      </w:r>
      <w:proofErr w:type="spellEnd"/>
      <w:r>
        <w:rPr>
          <w:rStyle w:val="Hipervnculo"/>
          <w:rFonts w:ascii="Arial" w:hAnsi="Arial"/>
          <w:color w:val="000000"/>
          <w:u w:val="none"/>
          <w:lang w:val="fr-FR"/>
        </w:rPr>
        <w:t xml:space="preserve"> : 58388487, </w:t>
      </w:r>
      <w:proofErr w:type="spellStart"/>
      <w:r>
        <w:rPr>
          <w:rStyle w:val="Hipervnculo"/>
          <w:rFonts w:ascii="Arial" w:hAnsi="Arial"/>
          <w:color w:val="000000"/>
          <w:u w:val="none"/>
          <w:lang w:val="fr-FR"/>
        </w:rPr>
        <w:t>émail</w:t>
      </w:r>
      <w:proofErr w:type="spellEnd"/>
      <w:r>
        <w:rPr>
          <w:rStyle w:val="Hipervnculo"/>
          <w:rFonts w:ascii="Arial" w:hAnsi="Arial"/>
          <w:color w:val="000000"/>
          <w:u w:val="none"/>
          <w:lang w:val="fr-FR"/>
        </w:rPr>
        <w:t> : erenio@uclv.edu.cu*</w:t>
      </w:r>
    </w:p>
    <w:p w14:paraId="5EE4687F" w14:textId="77777777" w:rsidR="00D877E2" w:rsidRDefault="00D877E2">
      <w:pPr>
        <w:spacing w:after="0" w:line="240" w:lineRule="auto"/>
        <w:jc w:val="center"/>
        <w:rPr>
          <w:rFonts w:ascii="Arial" w:eastAsia="SimSun" w:hAnsi="Arial" w:cs="Leelawadee"/>
        </w:rPr>
      </w:pPr>
    </w:p>
    <w:p w14:paraId="7B89ADF2" w14:textId="77777777" w:rsidR="00D877E2" w:rsidRDefault="00000000">
      <w:pPr>
        <w:widowControl w:val="0"/>
        <w:tabs>
          <w:tab w:val="left" w:pos="450"/>
        </w:tabs>
        <w:spacing w:after="0" w:line="240" w:lineRule="auto"/>
        <w:ind w:left="270" w:hanging="142"/>
        <w:jc w:val="center"/>
      </w:pPr>
      <w:r>
        <w:rPr>
          <w:rFonts w:ascii="Arial" w:hAnsi="Arial" w:cs="Arial"/>
          <w:iCs/>
          <w:vertAlign w:val="superscript"/>
          <w:lang w:val="es-ES_tradnl"/>
        </w:rPr>
        <w:t xml:space="preserve">1 </w:t>
      </w:r>
      <w:hyperlink r:id="rId8" w:tgtFrame="_self">
        <w:r>
          <w:rPr>
            <w:rFonts w:ascii="Arial" w:hAnsi="Arial" w:cs="Arial"/>
            <w:iCs/>
            <w:lang w:val="es-ES_tradnl"/>
          </w:rPr>
          <w:t>Departamento de Ingeniería Hidráulica</w:t>
        </w:r>
      </w:hyperlink>
      <w:r>
        <w:rPr>
          <w:rFonts w:ascii="Arial" w:hAnsi="Arial" w:cs="Arial"/>
          <w:iCs/>
          <w:lang w:val="es-ES_tradnl"/>
        </w:rPr>
        <w:t>, Universidad Central “Marta Abreu” de La Villas, Santa Clara, Villa Clara, Cuba</w:t>
      </w:r>
    </w:p>
    <w:p w14:paraId="6BE306A3" w14:textId="4C85CBDF" w:rsidR="00D877E2" w:rsidRDefault="00000000">
      <w:pPr>
        <w:widowControl w:val="0"/>
        <w:spacing w:after="0" w:line="240" w:lineRule="auto"/>
        <w:ind w:left="142" w:hanging="142"/>
        <w:jc w:val="center"/>
        <w:rPr>
          <w:rFonts w:ascii="Arial" w:hAnsi="Arial"/>
        </w:rPr>
      </w:pPr>
      <w:r>
        <w:rPr>
          <w:rFonts w:ascii="Arial" w:hAnsi="Arial" w:cs="Arial"/>
          <w:iCs/>
          <w:vertAlign w:val="superscript"/>
          <w:lang w:val="es-ES_tradnl"/>
        </w:rPr>
        <w:t xml:space="preserve">2 </w:t>
      </w:r>
      <w:proofErr w:type="gramStart"/>
      <w:r>
        <w:rPr>
          <w:rFonts w:ascii="Arial" w:hAnsi="Arial" w:cs="Arial"/>
          <w:iCs/>
          <w:lang w:val="es-ES_tradnl"/>
        </w:rPr>
        <w:t>Departamento</w:t>
      </w:r>
      <w:proofErr w:type="gramEnd"/>
      <w:r>
        <w:rPr>
          <w:rFonts w:ascii="Arial" w:hAnsi="Arial" w:cs="Arial"/>
          <w:iCs/>
          <w:lang w:val="es-ES_tradnl"/>
        </w:rPr>
        <w:t xml:space="preserve"> de Ingeniería </w:t>
      </w:r>
      <w:r w:rsidR="00FC2DFA">
        <w:rPr>
          <w:rFonts w:ascii="Arial" w:hAnsi="Arial" w:cs="Arial"/>
          <w:iCs/>
          <w:lang w:val="es-ES_tradnl"/>
        </w:rPr>
        <w:t>Química,</w:t>
      </w:r>
      <w:r w:rsidR="00FC2DFA">
        <w:rPr>
          <w:rFonts w:ascii="Arial" w:eastAsia="Times New Roman" w:hAnsi="Arial" w:cs="Arial"/>
          <w:iCs/>
          <w:color w:val="000000"/>
          <w:lang w:val="es-ES_tradnl" w:eastAsia="es-ES"/>
        </w:rPr>
        <w:t xml:space="preserve"> Universidad</w:t>
      </w:r>
      <w:r>
        <w:rPr>
          <w:rFonts w:ascii="Arial" w:eastAsia="Times New Roman" w:hAnsi="Arial" w:cs="Arial"/>
          <w:iCs/>
          <w:color w:val="000000"/>
          <w:lang w:val="es-ES_tradnl" w:eastAsia="es-ES"/>
        </w:rPr>
        <w:t xml:space="preserve"> Estatal Amazónica: Puyo, Pastaza, Ec</w:t>
      </w:r>
      <w:r>
        <w:rPr>
          <w:rFonts w:ascii="Arial" w:eastAsia="Times New Roman" w:hAnsi="Arial" w:cs="Arial"/>
          <w:i/>
          <w:iCs/>
          <w:color w:val="000000"/>
          <w:lang w:val="es-ES_tradnl" w:eastAsia="es-ES"/>
        </w:rPr>
        <w:t>uador</w:t>
      </w:r>
      <w:r>
        <w:rPr>
          <w:rFonts w:ascii="Arial" w:hAnsi="Arial" w:cs="Arial"/>
          <w:iCs/>
          <w:lang w:val="es-ES_tradnl"/>
        </w:rPr>
        <w:t>.</w:t>
      </w:r>
    </w:p>
    <w:p w14:paraId="7F828070" w14:textId="2A751140" w:rsidR="00D877E2" w:rsidRDefault="00000000">
      <w:pPr>
        <w:widowControl w:val="0"/>
        <w:spacing w:after="0" w:line="240" w:lineRule="auto"/>
        <w:ind w:left="142" w:hanging="142"/>
        <w:jc w:val="center"/>
        <w:rPr>
          <w:rFonts w:ascii="Arial" w:hAnsi="Arial"/>
        </w:rPr>
      </w:pPr>
      <w:r>
        <w:rPr>
          <w:rFonts w:ascii="Arial" w:hAnsi="Arial" w:cs="Arial"/>
          <w:iCs/>
          <w:vertAlign w:val="superscript"/>
          <w:lang w:val="es-ES_tradnl"/>
        </w:rPr>
        <w:t xml:space="preserve">3 </w:t>
      </w:r>
      <w:proofErr w:type="gramStart"/>
      <w:r w:rsidR="00FC2DFA">
        <w:rPr>
          <w:rFonts w:ascii="Arial" w:hAnsi="Arial" w:cs="Arial"/>
          <w:iCs/>
          <w:lang w:val="es-ES_tradnl"/>
        </w:rPr>
        <w:t>Dirección</w:t>
      </w:r>
      <w:proofErr w:type="gramEnd"/>
      <w:r>
        <w:rPr>
          <w:rFonts w:ascii="Arial" w:hAnsi="Arial" w:cs="Arial"/>
          <w:iCs/>
          <w:lang w:val="es-ES_tradnl"/>
        </w:rPr>
        <w:t xml:space="preserve"> de </w:t>
      </w:r>
      <w:r w:rsidR="00FC2DFA">
        <w:rPr>
          <w:rFonts w:ascii="Arial" w:hAnsi="Arial" w:cs="Arial"/>
          <w:iCs/>
          <w:lang w:val="es-ES_tradnl"/>
        </w:rPr>
        <w:t>Marxismo</w:t>
      </w:r>
      <w:r>
        <w:rPr>
          <w:rFonts w:ascii="Arial" w:hAnsi="Arial" w:cs="Arial"/>
          <w:iCs/>
          <w:lang w:val="es-ES_tradnl"/>
        </w:rPr>
        <w:t xml:space="preserve"> Historia y Defensa, Universidad Central “Marta Abreu” de La Villas, Santa Clara, Villa Clara, Cuba.</w:t>
      </w:r>
    </w:p>
    <w:p w14:paraId="4C86582D" w14:textId="77777777" w:rsidR="00D877E2" w:rsidRDefault="00D877E2">
      <w:pPr>
        <w:widowControl w:val="0"/>
        <w:spacing w:after="0" w:line="240" w:lineRule="auto"/>
        <w:ind w:left="142" w:hanging="142"/>
        <w:jc w:val="center"/>
        <w:rPr>
          <w:rFonts w:ascii="Arial" w:hAnsi="Arial" w:cs="Arial"/>
          <w:iCs/>
          <w:lang w:val="es-ES_tradnl"/>
        </w:rPr>
      </w:pPr>
    </w:p>
    <w:p w14:paraId="58F18A31" w14:textId="3D916629" w:rsidR="00D877E2" w:rsidRDefault="00000000">
      <w:pPr>
        <w:jc w:val="both"/>
        <w:rPr>
          <w:rFonts w:ascii="Arial" w:hAnsi="Arial"/>
        </w:rPr>
      </w:pPr>
      <w:r>
        <w:rPr>
          <w:rFonts w:ascii="Arial" w:hAnsi="Arial"/>
        </w:rPr>
        <w:t xml:space="preserve">*Autor para </w:t>
      </w:r>
      <w:r w:rsidR="00FC2DFA">
        <w:rPr>
          <w:rFonts w:ascii="Arial" w:hAnsi="Arial"/>
        </w:rPr>
        <w:t>correspondencia, se</w:t>
      </w:r>
      <w:r>
        <w:rPr>
          <w:rFonts w:ascii="Arial" w:hAnsi="Arial"/>
        </w:rPr>
        <w:t xml:space="preserve"> solicita </w:t>
      </w:r>
      <w:proofErr w:type="gramStart"/>
      <w:r>
        <w:rPr>
          <w:rFonts w:ascii="Arial" w:hAnsi="Arial"/>
        </w:rPr>
        <w:t>que</w:t>
      </w:r>
      <w:proofErr w:type="gramEnd"/>
      <w:r>
        <w:rPr>
          <w:rFonts w:ascii="Arial" w:hAnsi="Arial"/>
        </w:rPr>
        <w:t xml:space="preserve"> aunque la autora principal es Dianeya Morales Arboláez, (quien expondrá el trabajo) toda correspondencia sea a erenio@uclv.edu.cu por </w:t>
      </w:r>
      <w:r w:rsidR="00262EFA">
        <w:rPr>
          <w:rFonts w:ascii="Arial" w:hAnsi="Arial"/>
        </w:rPr>
        <w:t>mayores facilidades</w:t>
      </w:r>
      <w:r>
        <w:rPr>
          <w:rFonts w:ascii="Arial" w:hAnsi="Arial"/>
        </w:rPr>
        <w:t xml:space="preserve"> de comunicación actualmente</w:t>
      </w:r>
    </w:p>
    <w:p w14:paraId="454F5D75" w14:textId="77777777" w:rsidR="00D877E2" w:rsidRDefault="00000000">
      <w:pPr>
        <w:widowControl w:val="0"/>
        <w:spacing w:after="0" w:line="240" w:lineRule="auto"/>
        <w:ind w:left="142" w:hanging="142"/>
        <w:jc w:val="center"/>
        <w:rPr>
          <w:rFonts w:ascii="Arial" w:hAnsi="Arial"/>
        </w:rPr>
      </w:pPr>
      <w:r>
        <w:rPr>
          <w:rFonts w:ascii="Arial" w:hAnsi="Arial" w:cs="Arial"/>
          <w:b/>
          <w:iCs/>
          <w:caps/>
          <w:lang w:val="es-ES_tradnl"/>
        </w:rPr>
        <w:t>RESUMEN</w:t>
      </w:r>
    </w:p>
    <w:p w14:paraId="10C11B50" w14:textId="403D3EAA" w:rsidR="00D877E2" w:rsidRDefault="00000000">
      <w:pPr>
        <w:spacing w:after="0" w:line="240" w:lineRule="auto"/>
        <w:jc w:val="both"/>
        <w:rPr>
          <w:rFonts w:ascii="Arial" w:hAnsi="Arial"/>
        </w:rPr>
      </w:pPr>
      <w:r>
        <w:rPr>
          <w:rFonts w:ascii="Arial" w:hAnsi="Arial" w:cs="Arial"/>
          <w:color w:val="0F1115"/>
          <w:shd w:val="clear" w:color="auto" w:fill="FFFFFF"/>
          <w:lang w:val="es-ES"/>
        </w:rPr>
        <w:t xml:space="preserve">La Empresa ¨La Villareña¨ en Santa Clara, que se encarga del abastecimiento de productos lácteos, es altamente consumidora de agua, originando un problema de desabastecimiento a la ciudad, que perjudica su desarrollo, por lo que </w:t>
      </w:r>
      <w:r w:rsidR="00FC2DFA">
        <w:rPr>
          <w:rFonts w:ascii="Arial" w:hAnsi="Arial" w:cs="Arial"/>
          <w:color w:val="0F1115"/>
          <w:shd w:val="clear" w:color="auto" w:fill="FFFFFF"/>
          <w:lang w:val="es-ES"/>
        </w:rPr>
        <w:t>se</w:t>
      </w:r>
      <w:r>
        <w:rPr>
          <w:rFonts w:ascii="Arial" w:hAnsi="Arial" w:cs="Arial"/>
          <w:color w:val="0F1115"/>
          <w:shd w:val="clear" w:color="auto" w:fill="FFFFFF"/>
          <w:lang w:val="es-ES"/>
        </w:rPr>
        <w:t xml:space="preserve"> hace necesario la reducción de este insumo utilizando los adelantos de la Ciencia y la Técnica y considerando las restricciones inversionistas del país y de esta forma lograr la utilización racional y eficiente de recursos naturales.</w:t>
      </w:r>
    </w:p>
    <w:p w14:paraId="5B417C51" w14:textId="13515C55" w:rsidR="00D877E2" w:rsidRDefault="00000000">
      <w:pPr>
        <w:spacing w:after="0" w:line="240" w:lineRule="auto"/>
        <w:jc w:val="both"/>
        <w:rPr>
          <w:rFonts w:ascii="Arial" w:hAnsi="Arial"/>
        </w:rPr>
      </w:pPr>
      <w:r>
        <w:rPr>
          <w:rFonts w:ascii="Arial" w:hAnsi="Arial" w:cs="Arial"/>
          <w:bCs/>
          <w:lang w:val="es-ES"/>
        </w:rPr>
        <w:t>De manera que con el ob</w:t>
      </w:r>
      <w:bookmarkStart w:id="0" w:name="_Hlk204083833"/>
      <w:r>
        <w:rPr>
          <w:rFonts w:ascii="Arial" w:hAnsi="Arial" w:cs="Arial"/>
          <w:bCs/>
          <w:lang w:val="es-ES"/>
        </w:rPr>
        <w:t xml:space="preserve">jetivo de disminuir el consumo del agua potable </w:t>
      </w:r>
      <w:bookmarkEnd w:id="0"/>
      <w:r>
        <w:rPr>
          <w:rFonts w:ascii="Arial" w:hAnsi="Arial" w:cs="Arial"/>
          <w:bCs/>
          <w:lang w:val="es-ES_tradnl"/>
        </w:rPr>
        <w:t xml:space="preserve">y realizar manejo adecuado de esta, considerando las posibilidades de la </w:t>
      </w:r>
      <w:r>
        <w:rPr>
          <w:rFonts w:ascii="Arial" w:hAnsi="Arial" w:cs="Arial"/>
          <w:lang w:val="es-ES"/>
        </w:rPr>
        <w:t>economía circular</w:t>
      </w:r>
      <w:r>
        <w:rPr>
          <w:rFonts w:ascii="Arial" w:hAnsi="Arial" w:cs="Arial"/>
          <w:bCs/>
          <w:lang w:val="es-ES"/>
        </w:rPr>
        <w:t xml:space="preserve"> de la fábrica. L</w:t>
      </w:r>
      <w:r>
        <w:rPr>
          <w:rFonts w:ascii="Arial" w:eastAsia="Arial" w:hAnsi="Arial" w:cs="Arial"/>
          <w:bCs/>
          <w:lang w:val="es-ES_tradnl"/>
        </w:rPr>
        <w:t xml:space="preserve">a </w:t>
      </w:r>
      <w:r>
        <w:rPr>
          <w:rFonts w:ascii="Arial" w:eastAsia="Arial" w:hAnsi="Arial" w:cs="Arial"/>
          <w:bCs/>
          <w:lang w:val="es-ES"/>
        </w:rPr>
        <w:t xml:space="preserve">metodología empleada en el estudio apoyada en un Diagrama Heurístico procedimientos científicos desarrollados para minimizar el consumo de agua, y de recuperación de corrientes de agua caliente en una instalación ya existente, optimizando los flujos de </w:t>
      </w:r>
      <w:r w:rsidR="00FC2DFA">
        <w:rPr>
          <w:rFonts w:ascii="Arial" w:eastAsia="Arial" w:hAnsi="Arial" w:cs="Arial"/>
          <w:bCs/>
          <w:lang w:val="es-ES"/>
        </w:rPr>
        <w:t>intercambios de</w:t>
      </w:r>
      <w:r>
        <w:rPr>
          <w:rFonts w:ascii="Arial" w:eastAsia="Arial" w:hAnsi="Arial" w:cs="Arial"/>
          <w:bCs/>
          <w:lang w:val="es-ES"/>
        </w:rPr>
        <w:t xml:space="preserve"> la energía. </w:t>
      </w:r>
      <w:r>
        <w:rPr>
          <w:rFonts w:ascii="Arial" w:eastAsia="Arial" w:hAnsi="Arial" w:cs="Arial"/>
          <w:lang w:val="es-ES"/>
        </w:rPr>
        <w:t xml:space="preserve">Los resultados y discusión se mostraron en la disminución del consumo de agua potable, los </w:t>
      </w:r>
      <w:r>
        <w:rPr>
          <w:rFonts w:ascii="Arial" w:eastAsia="Arial" w:hAnsi="Arial" w:cs="Arial"/>
          <w:lang w:val="es-ES_tradnl"/>
        </w:rPr>
        <w:t xml:space="preserve">recursos materiales y energéticos para la explotación del agua, y la capacidad de aprovechar el agua en el sistema de producción. </w:t>
      </w:r>
      <w:r>
        <w:rPr>
          <w:rFonts w:ascii="Arial" w:eastAsia="Arial" w:hAnsi="Arial" w:cs="Arial"/>
          <w:bCs/>
          <w:lang w:val="es-ES_tradnl"/>
        </w:rPr>
        <w:t xml:space="preserve"> </w:t>
      </w:r>
      <w:r>
        <w:rPr>
          <w:rFonts w:ascii="Arial" w:eastAsia="Arial" w:hAnsi="Arial" w:cs="Arial"/>
          <w:lang w:val="es-ES_tradnl"/>
        </w:rPr>
        <w:t xml:space="preserve">Se obtuvo como </w:t>
      </w:r>
      <w:r>
        <w:rPr>
          <w:rFonts w:ascii="Arial" w:eastAsia="Arial" w:hAnsi="Arial" w:cs="Arial"/>
          <w:lang w:val="es-ES"/>
        </w:rPr>
        <w:t xml:space="preserve">principales conclusiones, la disminución del consumo de agua potable, que alcanza el 18 % del consumo máximo en el día, </w:t>
      </w:r>
      <w:r>
        <w:rPr>
          <w:rFonts w:ascii="Arial" w:eastAsia="Arial" w:hAnsi="Arial" w:cs="Arial"/>
          <w:lang w:val="es-ES_tradnl"/>
        </w:rPr>
        <w:t xml:space="preserve">los recursos materiales y energéticos </w:t>
      </w:r>
      <w:r>
        <w:rPr>
          <w:rFonts w:ascii="Arial" w:eastAsia="Arial" w:hAnsi="Arial" w:cs="Arial"/>
          <w:lang w:val="es-ES_tradnl"/>
        </w:rPr>
        <w:lastRenderedPageBreak/>
        <w:t>mostraron las producciones que más consumen agua y energía, s</w:t>
      </w:r>
      <w:proofErr w:type="spellStart"/>
      <w:r>
        <w:rPr>
          <w:rFonts w:ascii="Arial" w:eastAsia="Arial" w:hAnsi="Arial" w:cs="Arial"/>
        </w:rPr>
        <w:t>e</w:t>
      </w:r>
      <w:proofErr w:type="spellEnd"/>
      <w:r>
        <w:rPr>
          <w:rFonts w:ascii="Arial" w:eastAsia="Arial" w:hAnsi="Arial" w:cs="Arial"/>
        </w:rPr>
        <w:t xml:space="preserve"> identifican los campos de acción de la economía circular.</w:t>
      </w:r>
    </w:p>
    <w:p w14:paraId="7A4B085D" w14:textId="148934BC" w:rsidR="00D877E2" w:rsidRDefault="00000000">
      <w:pPr>
        <w:spacing w:after="0" w:line="240" w:lineRule="auto"/>
        <w:jc w:val="both"/>
        <w:rPr>
          <w:rFonts w:ascii="Arial" w:hAnsi="Arial"/>
        </w:rPr>
      </w:pPr>
      <w:r>
        <w:rPr>
          <w:rFonts w:ascii="Arial" w:hAnsi="Arial" w:cs="Arial"/>
          <w:b/>
          <w:lang w:val="es-ES_tradnl"/>
        </w:rPr>
        <w:t>Palabras clave:</w:t>
      </w:r>
      <w:r>
        <w:rPr>
          <w:rFonts w:ascii="Arial" w:hAnsi="Arial" w:cs="Arial"/>
          <w:lang w:val="es-ES_tradnl"/>
        </w:rPr>
        <w:t xml:space="preserve"> Agua, Condensado, </w:t>
      </w:r>
      <w:r w:rsidR="00FC2DFA">
        <w:rPr>
          <w:rFonts w:ascii="Arial" w:hAnsi="Arial" w:cs="Arial"/>
          <w:lang w:val="es-ES_tradnl"/>
        </w:rPr>
        <w:t>Desarrollo</w:t>
      </w:r>
      <w:r>
        <w:rPr>
          <w:rFonts w:ascii="Arial" w:hAnsi="Arial" w:cs="Arial"/>
          <w:lang w:val="es-ES_tradnl"/>
        </w:rPr>
        <w:t xml:space="preserve">, </w:t>
      </w:r>
      <w:r>
        <w:rPr>
          <w:rFonts w:ascii="Arial" w:eastAsia="Arial" w:hAnsi="Arial" w:cs="Arial"/>
          <w:lang w:val="es-ES_tradnl"/>
        </w:rPr>
        <w:t xml:space="preserve">Economía Circular, </w:t>
      </w:r>
      <w:r w:rsidR="00FC2DFA">
        <w:rPr>
          <w:rFonts w:ascii="Arial" w:hAnsi="Arial" w:cs="Arial"/>
          <w:color w:val="0F1115"/>
          <w:shd w:val="clear" w:color="auto" w:fill="FFFFFF"/>
          <w:lang w:val="es-ES_tradnl"/>
        </w:rPr>
        <w:t>Heurística</w:t>
      </w:r>
      <w:r>
        <w:rPr>
          <w:rFonts w:ascii="Arial" w:hAnsi="Arial" w:cs="Arial"/>
          <w:color w:val="0F1115"/>
          <w:shd w:val="clear" w:color="auto" w:fill="FFFFFF"/>
          <w:lang w:val="es-ES_tradnl"/>
        </w:rPr>
        <w:t xml:space="preserve"> </w:t>
      </w:r>
    </w:p>
    <w:p w14:paraId="2B8CC8EE" w14:textId="77777777" w:rsidR="00D877E2" w:rsidRDefault="00D877E2">
      <w:pPr>
        <w:jc w:val="center"/>
        <w:rPr>
          <w:rFonts w:ascii="Arial" w:hAnsi="Arial"/>
          <w:sz w:val="32"/>
          <w:szCs w:val="32"/>
        </w:rPr>
      </w:pPr>
    </w:p>
    <w:p w14:paraId="530510BA" w14:textId="77777777" w:rsidR="00D877E2" w:rsidRDefault="00000000">
      <w:pPr>
        <w:pStyle w:val="Prrafodelista"/>
        <w:numPr>
          <w:ilvl w:val="0"/>
          <w:numId w:val="1"/>
        </w:numPr>
        <w:tabs>
          <w:tab w:val="left" w:pos="426"/>
        </w:tabs>
        <w:spacing w:after="0" w:line="240" w:lineRule="auto"/>
        <w:ind w:left="0" w:firstLine="0"/>
        <w:jc w:val="both"/>
        <w:rPr>
          <w:rFonts w:ascii="Arial" w:hAnsi="Arial" w:cs="Arial"/>
        </w:rPr>
      </w:pPr>
      <w:r>
        <w:rPr>
          <w:rFonts w:ascii="Arial" w:hAnsi="Arial" w:cs="Arial"/>
          <w:b/>
          <w:bCs/>
        </w:rPr>
        <w:t>Introducción.</w:t>
      </w:r>
    </w:p>
    <w:p w14:paraId="045F873E" w14:textId="77777777" w:rsidR="00D877E2" w:rsidRDefault="00000000">
      <w:pPr>
        <w:spacing w:after="0" w:line="240" w:lineRule="auto"/>
        <w:jc w:val="both"/>
        <w:rPr>
          <w:rFonts w:ascii="Arial" w:hAnsi="Arial" w:cs="Arial"/>
          <w:lang w:val="es-ES"/>
        </w:rPr>
      </w:pPr>
      <w:r>
        <w:rPr>
          <w:rFonts w:ascii="Arial" w:hAnsi="Arial" w:cs="Arial"/>
          <w:lang w:val="es-ES"/>
        </w:rPr>
        <w:t>La Empresa de Productos Lácteos “La Villareña” en Santa Clara, se encarga del abastecimiento de leche procesada a todos los municipios en la región central, como principal función social. El equipamiento tecnológico de la entidad es obsoleto, lo cual se debe al déficit de financiamiento para inversiones que se ha presentado. La empresa manifiesta una necesidad de empleo de agua para satisfacer la capacidad productiva. Debido a la situación que se presenta, surge la necesidad de realizar un trabajo de uso eficiente del agua para que el suministro de esta sea capaz de satisfacer la demanda en la producción de lácteos de la empresa.</w:t>
      </w:r>
    </w:p>
    <w:p w14:paraId="5FD3F691" w14:textId="77777777" w:rsidR="00D877E2" w:rsidRDefault="00000000">
      <w:pPr>
        <w:spacing w:after="0" w:line="240" w:lineRule="auto"/>
        <w:jc w:val="both"/>
        <w:rPr>
          <w:rFonts w:ascii="Arial" w:hAnsi="Arial" w:cs="Arial"/>
        </w:rPr>
      </w:pPr>
      <w:r>
        <w:rPr>
          <w:rFonts w:ascii="Arial" w:hAnsi="Arial" w:cs="Arial"/>
        </w:rPr>
        <w:t>Toda la leche fluida que se produce (leche concentrada en bolsa, leche fluida en bolsa, leche entera cruda) se destina a satisfacer la demanda de la canasta básica a partir del consumo normado para los niños menores de 7 años y personas con dietas médicas por diversas causas. Además, se garantiza cierta cantidad para el consumo social, entiéndase hospitales, círculos infantiles y otras instituciones. (Barrios, et al;2017).</w:t>
      </w:r>
    </w:p>
    <w:p w14:paraId="61A6F67C" w14:textId="419D1034" w:rsidR="00D877E2" w:rsidRDefault="00000000">
      <w:pPr>
        <w:spacing w:after="0" w:line="240" w:lineRule="auto"/>
        <w:jc w:val="both"/>
        <w:rPr>
          <w:rFonts w:ascii="Arial" w:hAnsi="Arial" w:cs="Arial"/>
          <w:b/>
          <w:bCs/>
          <w:lang w:val="es-MX"/>
        </w:rPr>
      </w:pPr>
      <w:r>
        <w:rPr>
          <w:rFonts w:ascii="Arial" w:hAnsi="Arial" w:cs="Arial"/>
          <w:lang w:val="es-MX"/>
        </w:rPr>
        <w:t xml:space="preserve">Por lo anterior, el objetivo principal </w:t>
      </w:r>
      <w:r w:rsidR="00FC2DFA">
        <w:rPr>
          <w:rFonts w:ascii="Arial" w:hAnsi="Arial" w:cs="Arial"/>
          <w:lang w:val="es-MX"/>
        </w:rPr>
        <w:t>de este</w:t>
      </w:r>
      <w:r>
        <w:rPr>
          <w:rFonts w:ascii="Arial" w:hAnsi="Arial" w:cs="Arial"/>
          <w:lang w:val="es-MX"/>
        </w:rPr>
        <w:t xml:space="preserve"> trabajo es </w:t>
      </w:r>
      <w:bookmarkStart w:id="1" w:name="_Hlk220504637"/>
      <w:r>
        <w:rPr>
          <w:rFonts w:ascii="Arial" w:hAnsi="Arial" w:cs="Arial"/>
          <w:lang w:val="es-ES"/>
        </w:rPr>
        <w:t xml:space="preserve">minimizar el consumo del agua potable, </w:t>
      </w:r>
      <w:r>
        <w:rPr>
          <w:rFonts w:ascii="Arial" w:hAnsi="Arial" w:cs="Arial"/>
          <w:lang w:val="es-ES_tradnl"/>
        </w:rPr>
        <w:t>para contribuir a un funcionamiento eficiente</w:t>
      </w:r>
      <w:r>
        <w:rPr>
          <w:rFonts w:ascii="Arial" w:hAnsi="Arial" w:cs="Arial"/>
          <w:lang w:val="es-ES"/>
        </w:rPr>
        <w:t xml:space="preserve"> en la fábrica y que no perjudique al entorno social de la instalación</w:t>
      </w:r>
      <w:r>
        <w:rPr>
          <w:rFonts w:ascii="Arial" w:hAnsi="Arial" w:cs="Arial"/>
          <w:lang w:val="es-ES_tradnl"/>
        </w:rPr>
        <w:t>.</w:t>
      </w:r>
      <w:r>
        <w:rPr>
          <w:rFonts w:ascii="Arial" w:hAnsi="Arial" w:cs="Arial"/>
          <w:b/>
          <w:lang w:val="es-ES"/>
        </w:rPr>
        <w:t xml:space="preserve"> </w:t>
      </w:r>
      <w:bookmarkEnd w:id="1"/>
      <w:r>
        <w:rPr>
          <w:rFonts w:ascii="Arial" w:hAnsi="Arial" w:cs="Arial"/>
          <w:lang w:val="es-ES"/>
        </w:rPr>
        <w:t xml:space="preserve">La realización del estudio permite disminuir el consumo de agua para diferentes formas productivas, lo cual es de utilidad para los trabajos del manejo del agua en la fábrica.  </w:t>
      </w:r>
      <w:r>
        <w:rPr>
          <w:rFonts w:ascii="Arial" w:hAnsi="Arial" w:cs="Arial"/>
          <w:lang w:val="es-MX"/>
        </w:rPr>
        <w:t>En el trabajo se abordan temas de la economía circular, donde se aborda la relación que existe entre los beneficios económicos y la protección del medio ambiente, lo cual influye en el desarrollo sostenible.</w:t>
      </w:r>
    </w:p>
    <w:p w14:paraId="5D4ADCC5" w14:textId="77777777" w:rsidR="00D877E2" w:rsidRDefault="00000000">
      <w:pPr>
        <w:pStyle w:val="Prrafodelista"/>
        <w:numPr>
          <w:ilvl w:val="0"/>
          <w:numId w:val="1"/>
        </w:numPr>
        <w:tabs>
          <w:tab w:val="left" w:pos="426"/>
        </w:tabs>
        <w:spacing w:after="0" w:line="240" w:lineRule="auto"/>
        <w:ind w:left="0" w:firstLine="0"/>
        <w:jc w:val="both"/>
        <w:rPr>
          <w:rFonts w:ascii="Arial" w:hAnsi="Arial" w:cs="Arial"/>
          <w:b/>
          <w:bCs/>
        </w:rPr>
      </w:pPr>
      <w:bookmarkStart w:id="2" w:name="_Hlk209648402"/>
      <w:r>
        <w:rPr>
          <w:rFonts w:ascii="Arial" w:hAnsi="Arial" w:cs="Arial"/>
          <w:b/>
          <w:bCs/>
        </w:rPr>
        <w:t>Materiales y Métodos</w:t>
      </w:r>
    </w:p>
    <w:p w14:paraId="1C0456B9" w14:textId="77777777" w:rsidR="00D877E2" w:rsidRDefault="00000000">
      <w:pPr>
        <w:spacing w:after="0" w:line="240" w:lineRule="auto"/>
        <w:jc w:val="both"/>
        <w:rPr>
          <w:rFonts w:ascii="Arial" w:hAnsi="Arial" w:cs="Arial"/>
          <w:b/>
          <w:bCs/>
          <w:lang w:val="es-ES"/>
        </w:rPr>
      </w:pPr>
      <w:r>
        <w:rPr>
          <w:rFonts w:ascii="Arial" w:hAnsi="Arial" w:cs="Arial"/>
        </w:rPr>
        <w:t xml:space="preserve">En el trabajo se desarrolló el tipo de investigación aplicada, mediante un procedimiento heurístico donde se emplearon los conocimientos y </w:t>
      </w:r>
      <w:r>
        <w:rPr>
          <w:rFonts w:ascii="Arial" w:hAnsi="Arial" w:cs="Arial"/>
          <w:color w:val="0F1115"/>
          <w:shd w:val="clear" w:color="auto" w:fill="FFFFFF"/>
          <w:lang w:val="es-ES"/>
        </w:rPr>
        <w:t>adelantos de la Ciencia y la Técnica y considerando las restricciones inversionistas del país y de esta forma lograr la utilización racional y eficiente de recursos naturales.</w:t>
      </w:r>
    </w:p>
    <w:p w14:paraId="6D7FB2EC" w14:textId="77777777" w:rsidR="00D877E2" w:rsidRDefault="00000000">
      <w:pPr>
        <w:spacing w:after="0" w:line="240" w:lineRule="auto"/>
        <w:jc w:val="both"/>
        <w:rPr>
          <w:rFonts w:ascii="Arial" w:hAnsi="Arial" w:cs="Arial"/>
          <w:b/>
          <w:bCs/>
          <w:lang w:val="es-ES"/>
        </w:rPr>
      </w:pPr>
      <w:r>
        <w:rPr>
          <w:rFonts w:ascii="Arial" w:hAnsi="Arial" w:cs="Arial"/>
          <w:b/>
          <w:bCs/>
          <w:lang w:val="es-ES"/>
        </w:rPr>
        <w:t>Consumos de agua.</w:t>
      </w:r>
    </w:p>
    <w:p w14:paraId="56FFFF05" w14:textId="77777777" w:rsidR="00D877E2" w:rsidRDefault="00000000">
      <w:pPr>
        <w:spacing w:after="0" w:line="240" w:lineRule="auto"/>
        <w:jc w:val="both"/>
        <w:rPr>
          <w:rFonts w:ascii="Arial" w:hAnsi="Arial" w:cs="Arial"/>
          <w:lang w:val="es-ES"/>
        </w:rPr>
      </w:pPr>
      <w:r>
        <w:rPr>
          <w:rFonts w:ascii="Arial" w:hAnsi="Arial" w:cs="Arial"/>
          <w:lang w:val="es-ES"/>
        </w:rPr>
        <w:t xml:space="preserve">Los consumos de agua se obtuvieron empleando el </w:t>
      </w:r>
      <w:r>
        <w:rPr>
          <w:rFonts w:ascii="Arial" w:hAnsi="Arial" w:cs="Arial"/>
          <w:b/>
          <w:bCs/>
          <w:lang w:val="es-ES"/>
        </w:rPr>
        <w:t>índice de consumo</w:t>
      </w:r>
      <w:r>
        <w:rPr>
          <w:rFonts w:ascii="Arial" w:hAnsi="Arial" w:cs="Arial"/>
          <w:lang w:val="es-ES"/>
        </w:rPr>
        <w:t xml:space="preserve"> </w:t>
      </w:r>
      <w:r>
        <w:rPr>
          <w:rFonts w:ascii="Arial" w:hAnsi="Arial" w:cs="Arial"/>
          <w:b/>
          <w:bCs/>
          <w:lang w:val="es-ES"/>
        </w:rPr>
        <w:t>de agua</w:t>
      </w:r>
      <w:r>
        <w:rPr>
          <w:rFonts w:ascii="Arial" w:hAnsi="Arial" w:cs="Arial"/>
          <w:lang w:val="es-ES"/>
        </w:rPr>
        <w:t xml:space="preserve"> aprobado para la industria alimenticia, basado en la Resolución No. 17 /2020, Índices de Consumo de Agua para Producciones y Servicios (INRH.2020) </w:t>
      </w:r>
    </w:p>
    <w:p w14:paraId="35E74340" w14:textId="3EE5E048" w:rsidR="00D877E2" w:rsidRDefault="00000000" w:rsidP="00FC2DFA">
      <w:pPr>
        <w:spacing w:after="0" w:line="240" w:lineRule="auto"/>
        <w:jc w:val="both"/>
      </w:pPr>
      <w:bookmarkStart w:id="3" w:name="_Hlk220422358"/>
      <w:r>
        <w:rPr>
          <w:rFonts w:ascii="Arial" w:hAnsi="Arial" w:cs="Arial"/>
          <w:lang w:val="es-ES"/>
        </w:rPr>
        <w:t xml:space="preserve">Consumo de agua = Índice de consumo x Actividad                                            </w:t>
      </w:r>
      <w:r w:rsidR="00FC2DFA">
        <w:rPr>
          <w:rFonts w:ascii="Arial" w:hAnsi="Arial" w:cs="Arial"/>
          <w:lang w:val="es-ES"/>
        </w:rPr>
        <w:t xml:space="preserve">      </w:t>
      </w:r>
      <w:proofErr w:type="gramStart"/>
      <w:r w:rsidR="00FC2DFA">
        <w:rPr>
          <w:rFonts w:ascii="Arial" w:hAnsi="Arial" w:cs="Arial"/>
          <w:lang w:val="es-ES"/>
        </w:rPr>
        <w:t xml:space="preserve"> </w:t>
      </w:r>
      <w:r>
        <w:rPr>
          <w:rFonts w:ascii="Arial" w:hAnsi="Arial" w:cs="Arial"/>
          <w:lang w:val="es-ES"/>
        </w:rPr>
        <w:t xml:space="preserve">  (</w:t>
      </w:r>
      <w:proofErr w:type="gramEnd"/>
      <w:r>
        <w:rPr>
          <w:rFonts w:ascii="Arial" w:hAnsi="Arial" w:cs="Arial"/>
          <w:lang w:val="es-ES"/>
        </w:rPr>
        <w:t xml:space="preserve">1)                                                        </w:t>
      </w:r>
      <w:bookmarkEnd w:id="3"/>
    </w:p>
    <w:p w14:paraId="040BBF54" w14:textId="77777777" w:rsidR="00D877E2" w:rsidRDefault="00000000">
      <w:pPr>
        <w:spacing w:after="0" w:line="240" w:lineRule="auto"/>
        <w:jc w:val="both"/>
        <w:rPr>
          <w:rFonts w:ascii="Arial" w:hAnsi="Arial" w:cs="Arial"/>
          <w:b/>
          <w:lang w:val="es-ES"/>
        </w:rPr>
      </w:pPr>
      <w:r>
        <w:rPr>
          <w:rFonts w:ascii="Arial" w:hAnsi="Arial" w:cs="Arial"/>
          <w:b/>
          <w:lang w:val="es-ES"/>
        </w:rPr>
        <w:t>Balance de masa:</w:t>
      </w:r>
    </w:p>
    <w:p w14:paraId="51B79B28" w14:textId="77777777" w:rsidR="00D877E2" w:rsidRDefault="00000000">
      <w:pPr>
        <w:spacing w:after="0" w:line="240" w:lineRule="auto"/>
        <w:jc w:val="both"/>
        <w:rPr>
          <w:rFonts w:ascii="Arial" w:hAnsi="Arial" w:cs="Arial"/>
          <w:b/>
          <w:bCs/>
          <w:lang w:val="es-CU"/>
        </w:rPr>
      </w:pPr>
      <m:oMath>
        <m:r>
          <w:rPr>
            <w:rFonts w:ascii="Cambria Math" w:hAnsi="Cambria Math"/>
          </w:rPr>
          <m:t>masa</m:t>
        </m:r>
        <m:d>
          <m:dPr>
            <m:ctrlPr>
              <w:rPr>
                <w:rFonts w:ascii="Cambria Math" w:hAnsi="Cambria Math"/>
              </w:rPr>
            </m:ctrlPr>
          </m:dPr>
          <m:e>
            <m:r>
              <w:rPr>
                <w:rFonts w:ascii="Cambria Math" w:hAnsi="Cambria Math"/>
              </w:rPr>
              <m:t>Acum</m:t>
            </m:r>
          </m:e>
        </m:d>
        <m:r>
          <m:rPr>
            <m:lit/>
            <m:nor/>
          </m:rPr>
          <m:t xml:space="preserve">= </m:t>
        </m:r>
        <m:r>
          <w:rPr>
            <w:rFonts w:ascii="Cambria Math" w:hAnsi="Cambria Math"/>
          </w:rPr>
          <m:t>masa</m:t>
        </m:r>
        <m:d>
          <m:dPr>
            <m:ctrlPr>
              <w:rPr>
                <w:rFonts w:ascii="Cambria Math" w:hAnsi="Cambria Math"/>
              </w:rPr>
            </m:ctrlPr>
          </m:dPr>
          <m:e>
            <m:r>
              <w:rPr>
                <w:rFonts w:ascii="Cambria Math" w:hAnsi="Cambria Math"/>
              </w:rPr>
              <m:t>Ent</m:t>
            </m:r>
          </m:e>
        </m:d>
        <m:r>
          <m:rPr>
            <m:lit/>
            <m:nor/>
          </m:rPr>
          <m:t xml:space="preserve">- </m:t>
        </m:r>
        <m:r>
          <w:rPr>
            <w:rFonts w:ascii="Cambria Math" w:hAnsi="Cambria Math"/>
          </w:rPr>
          <m:t>masa</m:t>
        </m:r>
        <m:d>
          <m:dPr>
            <m:ctrlPr>
              <w:rPr>
                <w:rFonts w:ascii="Cambria Math" w:hAnsi="Cambria Math"/>
              </w:rPr>
            </m:ctrlPr>
          </m:dPr>
          <m:e>
            <m:r>
              <w:rPr>
                <w:rFonts w:ascii="Cambria Math" w:hAnsi="Cambria Math"/>
              </w:rPr>
              <m:t>Sal</m:t>
            </m:r>
          </m:e>
        </m:d>
        <m:r>
          <m:rPr>
            <m:lit/>
            <m:nor/>
          </m:rPr>
          <m:t xml:space="preserve">+ </m:t>
        </m:r>
        <m:r>
          <w:rPr>
            <w:rFonts w:ascii="Cambria Math" w:hAnsi="Cambria Math"/>
          </w:rPr>
          <m:t>masa</m:t>
        </m:r>
        <m:d>
          <m:dPr>
            <m:ctrlPr>
              <w:rPr>
                <w:rFonts w:ascii="Cambria Math" w:hAnsi="Cambria Math"/>
              </w:rPr>
            </m:ctrlPr>
          </m:dPr>
          <m:e>
            <m:r>
              <w:rPr>
                <w:rFonts w:ascii="Cambria Math" w:hAnsi="Cambria Math"/>
              </w:rPr>
              <m:t>Gener</m:t>
            </m:r>
          </m:e>
        </m:d>
        <m:r>
          <m:rPr>
            <m:lit/>
            <m:nor/>
          </m:rPr>
          <m:t xml:space="preserve">- </m:t>
        </m:r>
        <m:r>
          <w:rPr>
            <w:rFonts w:ascii="Cambria Math" w:hAnsi="Cambria Math"/>
          </w:rPr>
          <m:t>masa</m:t>
        </m:r>
        <m:d>
          <m:dPr>
            <m:ctrlPr>
              <w:rPr>
                <w:rFonts w:ascii="Cambria Math" w:hAnsi="Cambria Math"/>
              </w:rPr>
            </m:ctrlPr>
          </m:dPr>
          <m:e>
            <m:r>
              <w:rPr>
                <w:rFonts w:ascii="Cambria Math" w:hAnsi="Cambria Math"/>
              </w:rPr>
              <m:t>Cons</m:t>
            </m:r>
          </m:e>
        </m:d>
      </m:oMath>
      <w:r>
        <w:rPr>
          <w:rFonts w:ascii="Arial" w:hAnsi="Arial" w:cs="Arial"/>
          <w:b/>
          <w:bCs/>
          <w:lang w:val="es-CU"/>
        </w:rPr>
        <w:t xml:space="preserve">                             </w:t>
      </w:r>
      <w:r>
        <w:rPr>
          <w:rFonts w:ascii="Arial" w:hAnsi="Arial" w:cs="Arial"/>
          <w:lang w:val="es-CU"/>
        </w:rPr>
        <w:t>(2)</w:t>
      </w:r>
    </w:p>
    <w:p w14:paraId="0BC83CBA" w14:textId="77777777" w:rsidR="00D877E2" w:rsidRDefault="00000000">
      <w:pPr>
        <w:spacing w:after="0" w:line="240" w:lineRule="auto"/>
        <w:jc w:val="both"/>
        <w:rPr>
          <w:rFonts w:ascii="Arial" w:hAnsi="Arial" w:cs="Arial"/>
          <w:lang w:val="es-ES"/>
        </w:rPr>
      </w:pPr>
      <w:r>
        <w:rPr>
          <w:rFonts w:ascii="Arial" w:hAnsi="Arial" w:cs="Arial"/>
          <w:b/>
          <w:bCs/>
          <w:lang w:val="es-ES"/>
        </w:rPr>
        <w:t>Balance de energía</w:t>
      </w:r>
      <w:r>
        <w:rPr>
          <w:rFonts w:ascii="Arial" w:hAnsi="Arial" w:cs="Arial"/>
          <w:lang w:val="es-ES"/>
        </w:rPr>
        <w:t>:</w:t>
      </w:r>
    </w:p>
    <w:p w14:paraId="1BCE7454" w14:textId="77777777" w:rsidR="00D877E2" w:rsidRDefault="00000000">
      <w:pPr>
        <w:spacing w:after="0" w:line="240" w:lineRule="auto"/>
        <w:jc w:val="both"/>
        <w:rPr>
          <w:rFonts w:ascii="Arial" w:hAnsi="Arial" w:cs="Arial"/>
          <w:b/>
          <w:bCs/>
          <w:lang w:val="es-ES"/>
        </w:rPr>
      </w:pPr>
      <w:r>
        <w:rPr>
          <w:rFonts w:ascii="Arial" w:hAnsi="Arial" w:cs="Arial"/>
          <w:b/>
          <w:bCs/>
        </w:rPr>
        <w:t xml:space="preserve">Primera Ley de la Termodinámica. </w:t>
      </w:r>
      <w:r>
        <w:rPr>
          <w:rFonts w:ascii="Arial" w:hAnsi="Arial" w:cs="Arial"/>
        </w:rPr>
        <w:t>[2]</w:t>
      </w:r>
    </w:p>
    <w:p w14:paraId="5A517C4D" w14:textId="0FD1FBB7" w:rsidR="00D877E2" w:rsidRDefault="00000000">
      <w:pPr>
        <w:spacing w:after="0" w:line="240" w:lineRule="auto"/>
        <w:jc w:val="both"/>
        <w:rPr>
          <w:rFonts w:ascii="Arial" w:hAnsi="Arial" w:cs="Arial"/>
          <w:lang w:val="es-ES"/>
        </w:rPr>
      </w:pPr>
      <w:r>
        <w:rPr>
          <w:rFonts w:ascii="Arial" w:hAnsi="Arial" w:cs="Arial"/>
          <w:lang w:val="es-ES"/>
        </w:rPr>
        <w:t>∆</w:t>
      </w:r>
      <w:proofErr w:type="gramStart"/>
      <w:r>
        <w:rPr>
          <w:rFonts w:ascii="Cambria Math" w:hAnsi="Cambria Math" w:cs="Cambria Math"/>
          <w:lang w:val="es-ES"/>
        </w:rPr>
        <w:t>𝐸</w:t>
      </w:r>
      <w:r>
        <w:rPr>
          <w:rFonts w:ascii="Arial" w:hAnsi="Arial" w:cs="Arial"/>
          <w:lang w:val="es-ES"/>
        </w:rPr>
        <w:t xml:space="preserve">  =</w:t>
      </w:r>
      <w:proofErr w:type="gramEnd"/>
      <w:r>
        <w:rPr>
          <w:rFonts w:ascii="Arial" w:hAnsi="Arial" w:cs="Arial"/>
          <w:lang w:val="es-ES"/>
        </w:rPr>
        <w:t xml:space="preserve"> −</w:t>
      </w:r>
      <w:proofErr w:type="gramStart"/>
      <w:r>
        <w:rPr>
          <w:rFonts w:ascii="Arial" w:hAnsi="Arial" w:cs="Arial"/>
          <w:lang w:val="es-ES"/>
        </w:rPr>
        <w:t>∆(</w:t>
      </w:r>
      <w:r>
        <w:rPr>
          <w:rFonts w:ascii="Cambria Math" w:hAnsi="Cambria Math" w:cs="Cambria Math"/>
          <w:lang w:val="es-ES"/>
        </w:rPr>
        <w:t>𝐻</w:t>
      </w:r>
      <w:r>
        <w:rPr>
          <w:rFonts w:ascii="Arial" w:hAnsi="Arial" w:cs="Arial"/>
          <w:lang w:val="es-ES"/>
        </w:rPr>
        <w:t xml:space="preserve">  +</w:t>
      </w:r>
      <w:proofErr w:type="gramEnd"/>
      <w:r>
        <w:rPr>
          <w:rFonts w:ascii="Arial" w:hAnsi="Arial" w:cs="Arial"/>
          <w:lang w:val="es-ES"/>
        </w:rPr>
        <w:t xml:space="preserve"> </w:t>
      </w:r>
      <w:r>
        <w:rPr>
          <w:rFonts w:ascii="Cambria Math" w:hAnsi="Cambria Math" w:cs="Cambria Math"/>
          <w:lang w:val="es-ES"/>
        </w:rPr>
        <w:t>𝐸</w:t>
      </w:r>
      <w:proofErr w:type="gramStart"/>
      <w:r>
        <w:rPr>
          <w:rFonts w:ascii="Arial" w:hAnsi="Arial" w:cs="Arial"/>
          <w:lang w:val="es-ES"/>
        </w:rPr>
        <w:t>c  +</w:t>
      </w:r>
      <w:proofErr w:type="gramEnd"/>
      <w:r>
        <w:rPr>
          <w:rFonts w:ascii="Arial" w:hAnsi="Arial" w:cs="Arial"/>
          <w:lang w:val="es-ES"/>
        </w:rPr>
        <w:t xml:space="preserve"> </w:t>
      </w:r>
      <w:r>
        <w:rPr>
          <w:rFonts w:ascii="Cambria Math" w:hAnsi="Cambria Math" w:cs="Cambria Math"/>
          <w:lang w:val="es-ES"/>
        </w:rPr>
        <w:t>𝐸</w:t>
      </w:r>
      <w:r>
        <w:rPr>
          <w:rFonts w:ascii="Arial" w:hAnsi="Arial" w:cs="Arial"/>
          <w:lang w:val="es-ES"/>
        </w:rPr>
        <w:t>p + ...) +</w:t>
      </w:r>
      <w:r>
        <w:rPr>
          <w:rFonts w:ascii="Cambria Math" w:hAnsi="Cambria Math" w:cs="Cambria Math"/>
          <w:lang w:val="es-ES"/>
        </w:rPr>
        <w:t>𝑄</w:t>
      </w:r>
      <w:r>
        <w:rPr>
          <w:rFonts w:ascii="Arial" w:hAnsi="Arial" w:cs="Arial"/>
          <w:lang w:val="es-ES"/>
        </w:rPr>
        <w:t xml:space="preserve"> –</w:t>
      </w:r>
      <w:proofErr w:type="gramStart"/>
      <w:r>
        <w:rPr>
          <w:rFonts w:ascii="Cambria Math" w:hAnsi="Cambria Math" w:cs="Cambria Math"/>
          <w:lang w:val="es-ES"/>
        </w:rPr>
        <w:t>𝑊</w:t>
      </w:r>
      <w:r>
        <w:rPr>
          <w:rFonts w:ascii="Arial" w:hAnsi="Arial" w:cs="Arial"/>
          <w:lang w:val="es-ES"/>
        </w:rPr>
        <w:t xml:space="preserve">  −</w:t>
      </w:r>
      <w:proofErr w:type="gramEnd"/>
      <w:r>
        <w:rPr>
          <w:rFonts w:ascii="Arial" w:hAnsi="Arial" w:cs="Arial"/>
          <w:lang w:val="es-ES"/>
        </w:rPr>
        <w:t>∆</w:t>
      </w:r>
      <w:r>
        <w:rPr>
          <w:rFonts w:ascii="Cambria Math" w:hAnsi="Cambria Math" w:cs="Cambria Math"/>
          <w:lang w:val="es-ES"/>
        </w:rPr>
        <w:t>𝐻</w:t>
      </w:r>
      <w:r>
        <w:rPr>
          <w:rFonts w:ascii="Arial" w:hAnsi="Arial" w:cs="Arial"/>
          <w:lang w:val="es-ES"/>
        </w:rPr>
        <w:t xml:space="preserve">r                                                           </w:t>
      </w:r>
      <w:r w:rsidR="00FC2DFA">
        <w:rPr>
          <w:rFonts w:ascii="Arial" w:hAnsi="Arial" w:cs="Arial"/>
          <w:lang w:val="es-ES"/>
        </w:rPr>
        <w:t xml:space="preserve">       </w:t>
      </w:r>
      <w:proofErr w:type="gramStart"/>
      <w:r>
        <w:rPr>
          <w:rFonts w:ascii="Arial" w:hAnsi="Arial" w:cs="Arial"/>
          <w:lang w:val="es-ES"/>
        </w:rPr>
        <w:t xml:space="preserve">   (</w:t>
      </w:r>
      <w:proofErr w:type="gramEnd"/>
      <w:r>
        <w:rPr>
          <w:rFonts w:ascii="Arial" w:hAnsi="Arial" w:cs="Arial"/>
          <w:lang w:val="es-ES"/>
        </w:rPr>
        <w:t>3)</w:t>
      </w:r>
    </w:p>
    <w:p w14:paraId="031A8240" w14:textId="77777777" w:rsidR="00D877E2" w:rsidRDefault="00000000">
      <w:pPr>
        <w:spacing w:after="0" w:line="240" w:lineRule="auto"/>
        <w:jc w:val="both"/>
        <w:rPr>
          <w:rFonts w:ascii="Arial" w:hAnsi="Arial" w:cs="Arial"/>
          <w:iCs/>
        </w:rPr>
      </w:pPr>
      <w:r>
        <w:rPr>
          <w:rFonts w:ascii="Arial" w:hAnsi="Arial" w:cs="Arial"/>
          <w:iCs/>
        </w:rPr>
        <w:t>donde:</w:t>
      </w:r>
    </w:p>
    <w:p w14:paraId="2B03706C" w14:textId="77777777" w:rsidR="00D877E2" w:rsidRDefault="00000000">
      <w:pPr>
        <w:spacing w:after="0" w:line="240" w:lineRule="auto"/>
        <w:jc w:val="both"/>
        <w:rPr>
          <w:rFonts w:ascii="Arial" w:hAnsi="Arial" w:cs="Arial"/>
        </w:rPr>
      </w:pPr>
      <w:r>
        <w:rPr>
          <w:rFonts w:ascii="Arial" w:hAnsi="Arial" w:cs="Arial"/>
        </w:rPr>
        <w:t xml:space="preserve">Q = Calor [J] </w:t>
      </w:r>
    </w:p>
    <w:p w14:paraId="3DFCA84B" w14:textId="77777777" w:rsidR="00D877E2" w:rsidRDefault="00000000">
      <w:pPr>
        <w:spacing w:after="0" w:line="240" w:lineRule="auto"/>
        <w:jc w:val="both"/>
        <w:rPr>
          <w:rFonts w:ascii="Arial" w:hAnsi="Arial" w:cs="Arial"/>
        </w:rPr>
      </w:pPr>
      <w:r>
        <w:rPr>
          <w:rFonts w:ascii="Arial" w:hAnsi="Arial" w:cs="Arial"/>
        </w:rPr>
        <w:t>W = Trabajo [J]</w:t>
      </w:r>
    </w:p>
    <w:p w14:paraId="20D1138C" w14:textId="77777777" w:rsidR="00D877E2" w:rsidRDefault="00000000">
      <w:pPr>
        <w:spacing w:after="0" w:line="240" w:lineRule="auto"/>
        <w:jc w:val="both"/>
        <w:rPr>
          <w:rFonts w:ascii="Arial" w:hAnsi="Arial" w:cs="Arial"/>
        </w:rPr>
      </w:pPr>
      <w:r>
        <w:rPr>
          <w:rFonts w:ascii="Arial" w:hAnsi="Arial" w:cs="Arial"/>
        </w:rPr>
        <w:t>H = Entalpía [J]</w:t>
      </w:r>
    </w:p>
    <w:p w14:paraId="0FE7B495" w14:textId="77777777" w:rsidR="00D877E2" w:rsidRDefault="00000000">
      <w:pPr>
        <w:spacing w:after="0" w:line="240" w:lineRule="auto"/>
        <w:jc w:val="both"/>
        <w:rPr>
          <w:rFonts w:ascii="Arial" w:hAnsi="Arial" w:cs="Arial"/>
        </w:rPr>
      </w:pPr>
      <w:proofErr w:type="spellStart"/>
      <w:r>
        <w:rPr>
          <w:rFonts w:ascii="Arial" w:hAnsi="Arial" w:cs="Arial"/>
        </w:rPr>
        <w:t>Ep</w:t>
      </w:r>
      <w:proofErr w:type="spellEnd"/>
      <w:r>
        <w:rPr>
          <w:rFonts w:ascii="Arial" w:hAnsi="Arial" w:cs="Arial"/>
        </w:rPr>
        <w:t xml:space="preserve"> = Energía potencial [J]</w:t>
      </w:r>
    </w:p>
    <w:p w14:paraId="47077FFC" w14:textId="77777777" w:rsidR="00D877E2" w:rsidRDefault="00000000">
      <w:pPr>
        <w:spacing w:after="0" w:line="240" w:lineRule="auto"/>
        <w:jc w:val="both"/>
        <w:rPr>
          <w:rFonts w:ascii="Arial" w:hAnsi="Arial" w:cs="Arial"/>
          <w:b/>
          <w:bCs/>
          <w:lang w:val="es-ES"/>
        </w:rPr>
      </w:pPr>
      <w:proofErr w:type="spellStart"/>
      <w:r>
        <w:rPr>
          <w:rFonts w:ascii="Arial" w:hAnsi="Arial" w:cs="Arial"/>
        </w:rPr>
        <w:lastRenderedPageBreak/>
        <w:t>Ec</w:t>
      </w:r>
      <w:proofErr w:type="spellEnd"/>
      <w:r>
        <w:rPr>
          <w:rFonts w:ascii="Arial" w:hAnsi="Arial" w:cs="Arial"/>
        </w:rPr>
        <w:t xml:space="preserve"> = Energía cinética [J]</w:t>
      </w:r>
    </w:p>
    <w:p w14:paraId="05C5C7CF" w14:textId="77777777" w:rsidR="00D877E2" w:rsidRDefault="00000000">
      <w:pPr>
        <w:spacing w:after="0" w:line="240" w:lineRule="auto"/>
        <w:jc w:val="both"/>
        <w:rPr>
          <w:rFonts w:ascii="Arial" w:hAnsi="Arial" w:cs="Arial"/>
          <w:lang w:val="es-ES"/>
        </w:rPr>
      </w:pPr>
      <w:r>
        <w:rPr>
          <w:rFonts w:ascii="Arial" w:hAnsi="Arial" w:cs="Arial"/>
          <w:b/>
          <w:bCs/>
          <w:lang w:val="es-ES"/>
        </w:rPr>
        <w:t xml:space="preserve">El método volumétrico, </w:t>
      </w:r>
      <w:r>
        <w:rPr>
          <w:rFonts w:ascii="Arial" w:hAnsi="Arial" w:cs="Arial"/>
          <w:lang w:val="es-ES"/>
        </w:rPr>
        <w:t>(Pedrosa;2018)</w:t>
      </w:r>
      <w:r>
        <w:rPr>
          <w:rFonts w:ascii="Arial" w:hAnsi="Arial" w:cs="Arial"/>
          <w:b/>
          <w:bCs/>
          <w:lang w:val="es-ES"/>
        </w:rPr>
        <w:t xml:space="preserve"> </w:t>
      </w:r>
      <w:r>
        <w:rPr>
          <w:rFonts w:ascii="Arial" w:hAnsi="Arial" w:cs="Arial"/>
          <w:lang w:val="es-ES"/>
        </w:rPr>
        <w:t xml:space="preserve">permitió obtener consumos de agua en la limpieza por líneas de producción. </w:t>
      </w:r>
    </w:p>
    <w:p w14:paraId="0F8EFAD6" w14:textId="404EA378" w:rsidR="00D877E2" w:rsidRDefault="00000000">
      <w:pPr>
        <w:spacing w:after="0" w:line="240" w:lineRule="auto"/>
        <w:jc w:val="both"/>
        <w:rPr>
          <w:rFonts w:ascii="Arial" w:hAnsi="Arial" w:cs="Arial"/>
          <w:lang w:val="es-ES"/>
        </w:rPr>
      </w:pPr>
      <m:oMath>
        <m:r>
          <w:rPr>
            <w:rFonts w:ascii="Cambria Math" w:hAnsi="Cambria Math"/>
          </w:rPr>
          <m:t>Q</m:t>
        </m:r>
        <m:r>
          <m:rPr>
            <m:lit/>
            <m:nor/>
          </m:rPr>
          <m:t>=</m:t>
        </m:r>
        <m:f>
          <m:fPr>
            <m:ctrlPr>
              <w:rPr>
                <w:rFonts w:ascii="Cambria Math" w:hAnsi="Cambria Math"/>
              </w:rPr>
            </m:ctrlPr>
          </m:fPr>
          <m:num>
            <m:r>
              <w:rPr>
                <w:rFonts w:ascii="Cambria Math" w:hAnsi="Cambria Math"/>
              </w:rPr>
              <m:t>V</m:t>
            </m:r>
          </m:num>
          <m:den>
            <m:r>
              <w:rPr>
                <w:rFonts w:ascii="Cambria Math" w:hAnsi="Cambria Math"/>
              </w:rPr>
              <m:t>t</m:t>
            </m:r>
          </m:den>
        </m:f>
      </m:oMath>
      <w:r>
        <w:rPr>
          <w:rFonts w:ascii="Arial" w:hAnsi="Arial" w:cs="Arial"/>
          <w:b/>
          <w:bCs/>
          <w:lang w:val="es-ES"/>
        </w:rPr>
        <w:t xml:space="preserve">                                                                                                              </w:t>
      </w:r>
      <w:r w:rsidR="00FC2DFA">
        <w:rPr>
          <w:rFonts w:ascii="Arial" w:hAnsi="Arial" w:cs="Arial"/>
          <w:b/>
          <w:bCs/>
          <w:lang w:val="es-ES"/>
        </w:rPr>
        <w:t xml:space="preserve">                    </w:t>
      </w:r>
      <w:r>
        <w:rPr>
          <w:rFonts w:ascii="Arial" w:hAnsi="Arial" w:cs="Arial"/>
          <w:b/>
          <w:bCs/>
          <w:lang w:val="es-ES"/>
        </w:rPr>
        <w:t xml:space="preserve">  </w:t>
      </w:r>
      <w:r w:rsidRPr="00FC2DFA">
        <w:rPr>
          <w:rFonts w:ascii="Arial" w:hAnsi="Arial" w:cs="Arial"/>
          <w:lang w:val="es-ES"/>
        </w:rPr>
        <w:t xml:space="preserve">(4)    </w:t>
      </w:r>
      <w:r w:rsidRPr="00FC2DFA">
        <w:rPr>
          <w:rFonts w:ascii="Arial" w:hAnsi="Arial" w:cs="Arial"/>
          <w:vertAlign w:val="superscript"/>
          <w:lang w:val="es-ES"/>
        </w:rPr>
        <w:t xml:space="preserve"> </w:t>
      </w:r>
      <w:r w:rsidRPr="00FC2DFA">
        <w:rPr>
          <w:rFonts w:ascii="Arial" w:hAnsi="Arial" w:cs="Arial"/>
          <w:lang w:val="es-ES"/>
        </w:rPr>
        <w:t xml:space="preserve">                                                                                                                                  </w:t>
      </w:r>
    </w:p>
    <w:p w14:paraId="7B39A4C7" w14:textId="77777777" w:rsidR="00D877E2" w:rsidRDefault="00000000">
      <w:pPr>
        <w:spacing w:after="0" w:line="240" w:lineRule="auto"/>
        <w:jc w:val="both"/>
        <w:rPr>
          <w:rFonts w:ascii="Arial" w:hAnsi="Arial" w:cs="Arial"/>
          <w:lang w:val="es-CU"/>
        </w:rPr>
      </w:pPr>
      <w:r>
        <w:rPr>
          <w:rFonts w:ascii="Arial" w:hAnsi="Arial" w:cs="Arial"/>
          <w:lang w:val="es-CU"/>
        </w:rPr>
        <w:t>donde:</w:t>
      </w:r>
    </w:p>
    <w:p w14:paraId="6D73599B" w14:textId="77777777" w:rsidR="00D877E2" w:rsidRDefault="00000000">
      <w:pPr>
        <w:spacing w:after="0" w:line="240" w:lineRule="auto"/>
        <w:jc w:val="both"/>
        <w:rPr>
          <w:rFonts w:ascii="Arial" w:hAnsi="Arial" w:cs="Arial"/>
        </w:rPr>
      </w:pPr>
      <w:r>
        <w:rPr>
          <w:rFonts w:ascii="Arial" w:hAnsi="Arial" w:cs="Arial"/>
        </w:rPr>
        <w:t>Q = caudal [m</w:t>
      </w:r>
      <w:r>
        <w:rPr>
          <w:rFonts w:ascii="Arial" w:hAnsi="Arial" w:cs="Arial"/>
          <w:vertAlign w:val="superscript"/>
        </w:rPr>
        <w:t>3</w:t>
      </w:r>
      <w:r>
        <w:rPr>
          <w:rFonts w:ascii="Arial" w:hAnsi="Arial" w:cs="Arial"/>
        </w:rPr>
        <w:t>/s]</w:t>
      </w:r>
    </w:p>
    <w:p w14:paraId="7D417E20" w14:textId="77777777" w:rsidR="00D877E2" w:rsidRDefault="00000000">
      <w:pPr>
        <w:spacing w:after="0" w:line="240" w:lineRule="auto"/>
        <w:jc w:val="both"/>
        <w:rPr>
          <w:rFonts w:ascii="Arial" w:hAnsi="Arial" w:cs="Arial"/>
        </w:rPr>
      </w:pPr>
      <w:r>
        <w:rPr>
          <w:rFonts w:ascii="Arial" w:hAnsi="Arial" w:cs="Arial"/>
          <w:lang w:val="es-ES"/>
        </w:rPr>
        <w:t xml:space="preserve">V = volumen </w:t>
      </w:r>
      <w:r>
        <w:rPr>
          <w:rFonts w:ascii="Arial" w:hAnsi="Arial" w:cs="Arial"/>
        </w:rPr>
        <w:t>[m</w:t>
      </w:r>
      <w:r>
        <w:rPr>
          <w:rFonts w:ascii="Arial" w:hAnsi="Arial" w:cs="Arial"/>
          <w:vertAlign w:val="superscript"/>
        </w:rPr>
        <w:t>3</w:t>
      </w:r>
      <w:r>
        <w:rPr>
          <w:rFonts w:ascii="Arial" w:hAnsi="Arial" w:cs="Arial"/>
        </w:rPr>
        <w:t>]</w:t>
      </w:r>
    </w:p>
    <w:p w14:paraId="54908457" w14:textId="77777777" w:rsidR="00D877E2" w:rsidRDefault="00000000">
      <w:pPr>
        <w:spacing w:after="0" w:line="240" w:lineRule="auto"/>
        <w:jc w:val="both"/>
        <w:rPr>
          <w:rFonts w:ascii="Arial" w:hAnsi="Arial" w:cs="Arial"/>
          <w:b/>
          <w:bCs/>
          <w:lang w:val="es-CU"/>
        </w:rPr>
      </w:pPr>
      <w:r>
        <w:rPr>
          <w:rFonts w:ascii="Arial" w:hAnsi="Arial" w:cs="Arial"/>
          <w:lang w:val="es-ES"/>
        </w:rPr>
        <w:t xml:space="preserve">t = tiempo </w:t>
      </w:r>
      <w:r>
        <w:rPr>
          <w:rFonts w:ascii="Arial" w:hAnsi="Arial" w:cs="Arial"/>
        </w:rPr>
        <w:t>[s]</w:t>
      </w:r>
    </w:p>
    <w:p w14:paraId="4731DB0A" w14:textId="77777777" w:rsidR="00D877E2" w:rsidRDefault="00000000">
      <w:pPr>
        <w:spacing w:after="0" w:line="240" w:lineRule="auto"/>
        <w:jc w:val="both"/>
        <w:rPr>
          <w:rFonts w:ascii="Arial" w:hAnsi="Arial" w:cs="Arial"/>
          <w:b/>
          <w:bCs/>
          <w:lang w:val="es-CU"/>
        </w:rPr>
      </w:pPr>
      <w:r>
        <w:rPr>
          <w:rFonts w:ascii="Arial" w:hAnsi="Arial" w:cs="Arial"/>
          <w:b/>
          <w:bCs/>
          <w:lang w:val="es-CU"/>
        </w:rPr>
        <w:t>Recuperación de condensado.</w:t>
      </w:r>
    </w:p>
    <w:p w14:paraId="5EACFBE0" w14:textId="0AEA8DF4" w:rsidR="00D877E2" w:rsidRDefault="00000000">
      <w:pPr>
        <w:spacing w:after="0" w:line="240" w:lineRule="auto"/>
        <w:jc w:val="both"/>
        <w:rPr>
          <w:rFonts w:ascii="Arial" w:hAnsi="Arial" w:cs="Arial"/>
          <w:lang w:val="es-ES"/>
        </w:rPr>
      </w:pPr>
      <m:oMath>
        <m:r>
          <w:rPr>
            <w:rFonts w:ascii="Cambria Math" w:hAnsi="Cambria Math"/>
          </w:rPr>
          <m:t>Q</m:t>
        </m:r>
        <m:r>
          <m:rPr>
            <m:lit/>
            <m:nor/>
          </m:rPr>
          <m:t>=</m:t>
        </m:r>
        <m:r>
          <w:rPr>
            <w:rFonts w:ascii="Cambria Math" w:hAnsi="Cambria Math"/>
          </w:rPr>
          <m:t>mv</m:t>
        </m:r>
        <m:r>
          <m:rPr>
            <m:lit/>
            <m:nor/>
          </m:rPr>
          <m:t>*</m:t>
        </m:r>
      </m:oMath>
      <w:r>
        <w:rPr>
          <w:rFonts w:ascii="Arial" w:hAnsi="Arial" w:cs="Arial"/>
          <w:lang w:val="es-ES"/>
        </w:rPr>
        <w:t xml:space="preserve"> λ                                                                                                          </w:t>
      </w:r>
      <w:r w:rsidR="00FC2DFA">
        <w:rPr>
          <w:rFonts w:ascii="Arial" w:hAnsi="Arial" w:cs="Arial"/>
          <w:lang w:val="es-ES"/>
        </w:rPr>
        <w:t xml:space="preserve">                  </w:t>
      </w:r>
      <w:proofErr w:type="gramStart"/>
      <w:r w:rsidR="00FC2DFA">
        <w:rPr>
          <w:rFonts w:ascii="Arial" w:hAnsi="Arial" w:cs="Arial"/>
          <w:lang w:val="es-ES"/>
        </w:rPr>
        <w:t xml:space="preserve">  </w:t>
      </w:r>
      <w:r>
        <w:rPr>
          <w:rFonts w:ascii="Arial" w:hAnsi="Arial" w:cs="Arial"/>
          <w:lang w:val="es-ES"/>
        </w:rPr>
        <w:t xml:space="preserve"> (</w:t>
      </w:r>
      <w:proofErr w:type="gramEnd"/>
      <w:r>
        <w:rPr>
          <w:rFonts w:ascii="Arial" w:hAnsi="Arial" w:cs="Arial"/>
          <w:lang w:val="es-ES"/>
        </w:rPr>
        <w:t>5)</w:t>
      </w:r>
    </w:p>
    <w:p w14:paraId="2D47BA23" w14:textId="77777777" w:rsidR="00D877E2" w:rsidRDefault="00000000">
      <w:pPr>
        <w:spacing w:after="0" w:line="240" w:lineRule="auto"/>
        <w:jc w:val="both"/>
        <w:rPr>
          <w:rFonts w:ascii="Arial" w:hAnsi="Arial" w:cs="Arial"/>
          <w:lang w:val="es-ES"/>
        </w:rPr>
      </w:pPr>
      <w:r>
        <w:rPr>
          <w:rFonts w:ascii="Arial" w:hAnsi="Arial" w:cs="Arial"/>
          <w:lang w:val="es-ES"/>
        </w:rPr>
        <w:t>donde:</w:t>
      </w:r>
    </w:p>
    <w:p w14:paraId="33BC8A90" w14:textId="77777777" w:rsidR="00D877E2" w:rsidRDefault="00000000">
      <w:pPr>
        <w:spacing w:after="0" w:line="240" w:lineRule="auto"/>
        <w:jc w:val="both"/>
        <w:rPr>
          <w:rFonts w:ascii="Arial" w:hAnsi="Arial" w:cs="Arial"/>
          <w:lang w:val="es-ES"/>
        </w:rPr>
      </w:pPr>
      <w:r>
        <w:rPr>
          <w:rFonts w:ascii="Arial" w:hAnsi="Arial" w:cs="Arial"/>
          <w:lang w:val="es-ES"/>
        </w:rPr>
        <w:t>Q = calor recuperado (kJ)</w:t>
      </w:r>
    </w:p>
    <w:p w14:paraId="631C727A" w14:textId="77777777" w:rsidR="00D877E2" w:rsidRDefault="00000000">
      <w:pPr>
        <w:spacing w:after="0" w:line="240" w:lineRule="auto"/>
        <w:jc w:val="both"/>
        <w:rPr>
          <w:rFonts w:ascii="Arial" w:hAnsi="Arial" w:cs="Arial"/>
          <w:lang w:val="es-ES"/>
        </w:rPr>
      </w:pPr>
      <w:proofErr w:type="spellStart"/>
      <w:r>
        <w:rPr>
          <w:rFonts w:ascii="Arial" w:hAnsi="Arial" w:cs="Arial"/>
          <w:lang w:val="es-ES"/>
        </w:rPr>
        <w:t>mv</w:t>
      </w:r>
      <w:proofErr w:type="spellEnd"/>
      <w:r>
        <w:rPr>
          <w:rFonts w:ascii="Arial" w:hAnsi="Arial" w:cs="Arial"/>
          <w:lang w:val="es-ES"/>
        </w:rPr>
        <w:t xml:space="preserve"> = masa de vapor condensado (kg)</w:t>
      </w:r>
    </w:p>
    <w:p w14:paraId="5560AD0D" w14:textId="77777777" w:rsidR="00D877E2" w:rsidRDefault="00000000">
      <w:pPr>
        <w:spacing w:after="0" w:line="240" w:lineRule="auto"/>
        <w:jc w:val="both"/>
        <w:rPr>
          <w:rFonts w:ascii="Arial" w:hAnsi="Arial" w:cs="Arial"/>
          <w:lang w:val="es-ES"/>
        </w:rPr>
      </w:pPr>
      <w:r>
        <w:rPr>
          <w:rFonts w:ascii="Arial" w:hAnsi="Arial" w:cs="Arial"/>
          <w:lang w:val="es-ES"/>
        </w:rPr>
        <w:t>λ = calor latente de vaporización a la presión de operación (kJ/kg)</w:t>
      </w:r>
    </w:p>
    <w:p w14:paraId="78DBB9CA" w14:textId="77777777" w:rsidR="00D877E2" w:rsidRDefault="00000000">
      <w:pPr>
        <w:spacing w:after="0" w:line="240" w:lineRule="auto"/>
        <w:jc w:val="both"/>
        <w:rPr>
          <w:rFonts w:ascii="Arial" w:hAnsi="Arial" w:cs="Arial"/>
          <w:b/>
          <w:bCs/>
          <w:iCs/>
        </w:rPr>
      </w:pPr>
      <w:r>
        <w:rPr>
          <w:rFonts w:ascii="Arial" w:hAnsi="Arial" w:cs="Arial"/>
          <w:b/>
          <w:bCs/>
          <w:iCs/>
        </w:rPr>
        <w:t>Cálculo de carga de bombeo.</w:t>
      </w:r>
    </w:p>
    <w:p w14:paraId="20737412" w14:textId="1295D3B6" w:rsidR="00D877E2" w:rsidRDefault="00000000" w:rsidP="00FC2DFA">
      <w:pPr>
        <w:tabs>
          <w:tab w:val="left" w:pos="4229"/>
        </w:tabs>
        <w:spacing w:after="0" w:line="240" w:lineRule="auto"/>
        <w:jc w:val="both"/>
        <w:rPr>
          <w:rFonts w:ascii="Arial" w:hAnsi="Arial" w:cs="Arial"/>
          <w:iCs/>
        </w:rPr>
      </w:pPr>
      <w:r>
        <w:rPr>
          <w:rFonts w:ascii="Arial" w:hAnsi="Arial" w:cs="Arial"/>
          <w:iCs/>
        </w:rPr>
        <w:t>Según (Mott y Untener,2015</w:t>
      </w:r>
      <w:r w:rsidR="00FC2DFA">
        <w:rPr>
          <w:rFonts w:ascii="Arial" w:hAnsi="Arial" w:cs="Arial"/>
          <w:iCs/>
        </w:rPr>
        <w:t>):</w:t>
      </w:r>
      <w:r w:rsidR="00FC2DFA">
        <w:rPr>
          <w:rFonts w:ascii="Arial" w:hAnsi="Arial" w:cs="Arial"/>
          <w:iCs/>
        </w:rPr>
        <w:tab/>
      </w:r>
    </w:p>
    <w:p w14:paraId="0838896B" w14:textId="4E5CDA94" w:rsidR="00D877E2" w:rsidRDefault="00000000">
      <w:pPr>
        <w:spacing w:after="0" w:line="240" w:lineRule="auto"/>
        <w:jc w:val="both"/>
        <w:rPr>
          <w:rFonts w:ascii="Arial" w:hAnsi="Arial" w:cs="Arial"/>
          <w:iCs/>
        </w:rPr>
      </w:pPr>
      <m:oMath>
        <m:f>
          <m:fPr>
            <m:ctrlPr>
              <w:rPr>
                <w:rFonts w:ascii="Cambria Math" w:hAnsi="Cambria Math"/>
              </w:rPr>
            </m:ctrlPr>
          </m:fPr>
          <m:num>
            <m:sSub>
              <m:sSubPr>
                <m:ctrlPr>
                  <w:rPr>
                    <w:rFonts w:ascii="Cambria Math" w:hAnsi="Cambria Math"/>
                  </w:rPr>
                </m:ctrlPr>
              </m:sSubPr>
              <m:e>
                <m:r>
                  <w:rPr>
                    <w:rFonts w:ascii="Cambria Math" w:hAnsi="Cambria Math"/>
                  </w:rPr>
                  <m:t>P</m:t>
                </m:r>
              </m:e>
              <m:sub>
                <m:r>
                  <w:rPr>
                    <w:rFonts w:ascii="Cambria Math" w:hAnsi="Cambria Math"/>
                  </w:rPr>
                  <m:t>1</m:t>
                </m:r>
              </m:sub>
            </m:sSub>
          </m:num>
          <m:den>
            <m:r>
              <w:rPr>
                <w:rFonts w:ascii="Cambria Math" w:hAnsi="Cambria Math"/>
              </w:rPr>
              <m:t>γ</m:t>
            </m:r>
          </m:den>
        </m:f>
        <m:r>
          <m:rPr>
            <m:lit/>
            <m:nor/>
          </m:rPr>
          <m:t>+</m:t>
        </m:r>
        <m:sSub>
          <m:sSubPr>
            <m:ctrlPr>
              <w:rPr>
                <w:rFonts w:ascii="Cambria Math" w:hAnsi="Cambria Math"/>
              </w:rPr>
            </m:ctrlPr>
          </m:sSubPr>
          <m:e>
            <m:r>
              <w:rPr>
                <w:rFonts w:ascii="Cambria Math" w:hAnsi="Cambria Math"/>
              </w:rPr>
              <m:t>z</m:t>
            </m:r>
          </m:e>
          <m:sub>
            <m:r>
              <w:rPr>
                <w:rFonts w:ascii="Cambria Math" w:hAnsi="Cambria Math"/>
              </w:rPr>
              <m:t>1</m:t>
            </m:r>
          </m:sub>
        </m:sSub>
        <m:f>
          <m:fPr>
            <m:ctrlPr>
              <w:rPr>
                <w:rFonts w:ascii="Cambria Math" w:hAnsi="Cambria Math"/>
              </w:rPr>
            </m:ctrlPr>
          </m:fPr>
          <m:num>
            <m:sSub>
              <m:sSubPr>
                <m:ctrlPr>
                  <w:rPr>
                    <w:rFonts w:ascii="Cambria Math" w:hAnsi="Cambria Math"/>
                  </w:rPr>
                </m:ctrlPr>
              </m:sSubPr>
              <m:e>
                <m:r>
                  <w:rPr>
                    <w:rFonts w:ascii="Cambria Math" w:hAnsi="Cambria Math"/>
                  </w:rPr>
                  <m:t>v</m:t>
                </m:r>
              </m:e>
              <m:sub>
                <m:r>
                  <w:rPr>
                    <w:rFonts w:ascii="Cambria Math" w:hAnsi="Cambria Math"/>
                  </w:rPr>
                  <m:t>1</m:t>
                </m:r>
              </m:sub>
            </m:sSub>
          </m:num>
          <m:den>
            <m:r>
              <w:rPr>
                <w:rFonts w:ascii="Cambria Math" w:hAnsi="Cambria Math"/>
              </w:rPr>
              <m:t>2g</m:t>
            </m:r>
          </m:den>
        </m:f>
        <m:r>
          <m:rPr>
            <m:lit/>
            <m:nor/>
          </m:rPr>
          <m:t>+</m:t>
        </m:r>
        <m:sSub>
          <m:sSubPr>
            <m:ctrlPr>
              <w:rPr>
                <w:rFonts w:ascii="Cambria Math" w:hAnsi="Cambria Math"/>
              </w:rPr>
            </m:ctrlPr>
          </m:sSubPr>
          <m:e>
            <m:r>
              <w:rPr>
                <w:rFonts w:ascii="Cambria Math" w:hAnsi="Cambria Math"/>
              </w:rPr>
              <m:t>H</m:t>
            </m:r>
          </m:e>
          <m:sub>
            <m:r>
              <w:rPr>
                <w:rFonts w:ascii="Cambria Math" w:hAnsi="Cambria Math"/>
              </w:rPr>
              <m:t>B</m:t>
            </m:r>
          </m:sub>
        </m:sSub>
        <m:r>
          <m:rPr>
            <m:lit/>
            <m:nor/>
          </m:rPr>
          <m:t>-</m:t>
        </m:r>
        <m:sSub>
          <m:sSubPr>
            <m:ctrlPr>
              <w:rPr>
                <w:rFonts w:ascii="Cambria Math" w:hAnsi="Cambria Math"/>
              </w:rPr>
            </m:ctrlPr>
          </m:sSubPr>
          <m:e>
            <m:r>
              <w:rPr>
                <w:rFonts w:ascii="Cambria Math" w:hAnsi="Cambria Math"/>
              </w:rPr>
              <m:t>h</m:t>
            </m:r>
          </m:e>
          <m:sub>
            <m:r>
              <w:rPr>
                <w:rFonts w:ascii="Cambria Math" w:hAnsi="Cambria Math"/>
              </w:rPr>
              <m:t>a</m:t>
            </m:r>
          </m:sub>
        </m:sSub>
        <m:r>
          <m:rPr>
            <m:lit/>
            <m:nor/>
          </m:rPr>
          <m:t>-</m:t>
        </m:r>
        <m:sSub>
          <m:sSubPr>
            <m:ctrlPr>
              <w:rPr>
                <w:rFonts w:ascii="Cambria Math" w:hAnsi="Cambria Math"/>
              </w:rPr>
            </m:ctrlPr>
          </m:sSubPr>
          <m:e>
            <m:r>
              <w:rPr>
                <w:rFonts w:ascii="Cambria Math" w:hAnsi="Cambria Math"/>
              </w:rPr>
              <m:t>h</m:t>
            </m:r>
          </m:e>
          <m:sub>
            <m:r>
              <w:rPr>
                <w:rFonts w:ascii="Cambria Math" w:hAnsi="Cambria Math"/>
              </w:rPr>
              <m:t>f</m:t>
            </m:r>
          </m:sub>
        </m:sSub>
        <m:r>
          <m:rPr>
            <m:lit/>
            <m:nor/>
          </m:rPr>
          <m:t>=</m:t>
        </m:r>
        <m:f>
          <m:fPr>
            <m:ctrlPr>
              <w:rPr>
                <w:rFonts w:ascii="Cambria Math" w:hAnsi="Cambria Math"/>
              </w:rPr>
            </m:ctrlPr>
          </m:fPr>
          <m:num>
            <m:sSub>
              <m:sSubPr>
                <m:ctrlPr>
                  <w:rPr>
                    <w:rFonts w:ascii="Cambria Math" w:hAnsi="Cambria Math"/>
                  </w:rPr>
                </m:ctrlPr>
              </m:sSubPr>
              <m:e>
                <m:r>
                  <w:rPr>
                    <w:rFonts w:ascii="Cambria Math" w:hAnsi="Cambria Math"/>
                  </w:rPr>
                  <m:t>P</m:t>
                </m:r>
              </m:e>
              <m:sub>
                <m:r>
                  <w:rPr>
                    <w:rFonts w:ascii="Cambria Math" w:hAnsi="Cambria Math"/>
                  </w:rPr>
                  <m:t>1</m:t>
                </m:r>
              </m:sub>
            </m:sSub>
          </m:num>
          <m:den>
            <m:r>
              <w:rPr>
                <w:rFonts w:ascii="Cambria Math" w:hAnsi="Cambria Math"/>
              </w:rPr>
              <m:t>γ</m:t>
            </m:r>
          </m:den>
        </m:f>
        <m:r>
          <m:rPr>
            <m:lit/>
            <m:nor/>
          </m:rPr>
          <m:t>+</m:t>
        </m:r>
        <m:sSub>
          <m:sSubPr>
            <m:ctrlPr>
              <w:rPr>
                <w:rFonts w:ascii="Cambria Math" w:hAnsi="Cambria Math"/>
              </w:rPr>
            </m:ctrlPr>
          </m:sSubPr>
          <m:e>
            <m:r>
              <w:rPr>
                <w:rFonts w:ascii="Cambria Math" w:hAnsi="Cambria Math"/>
              </w:rPr>
              <m:t>z</m:t>
            </m:r>
          </m:e>
          <m:sub>
            <m:r>
              <w:rPr>
                <w:rFonts w:ascii="Cambria Math" w:hAnsi="Cambria Math"/>
              </w:rPr>
              <m:t>2</m:t>
            </m:r>
          </m:sub>
        </m:sSub>
        <m:r>
          <m:rPr>
            <m:lit/>
            <m:nor/>
          </m:rPr>
          <m:t>+</m:t>
        </m:r>
        <m:f>
          <m:fPr>
            <m:ctrlPr>
              <w:rPr>
                <w:rFonts w:ascii="Cambria Math" w:hAnsi="Cambria Math"/>
              </w:rPr>
            </m:ctrlPr>
          </m:fPr>
          <m:num>
            <m:sSub>
              <m:sSubPr>
                <m:ctrlPr>
                  <w:rPr>
                    <w:rFonts w:ascii="Cambria Math" w:hAnsi="Cambria Math"/>
                  </w:rPr>
                </m:ctrlPr>
              </m:sSubPr>
              <m:e>
                <m:r>
                  <w:rPr>
                    <w:rFonts w:ascii="Cambria Math" w:hAnsi="Cambria Math"/>
                  </w:rPr>
                  <m:t>v</m:t>
                </m:r>
              </m:e>
              <m:sub>
                <m:r>
                  <w:rPr>
                    <w:rFonts w:ascii="Cambria Math" w:hAnsi="Cambria Math"/>
                  </w:rPr>
                  <m:t>2</m:t>
                </m:r>
              </m:sub>
            </m:sSub>
          </m:num>
          <m:den>
            <m:r>
              <w:rPr>
                <w:rFonts w:ascii="Cambria Math" w:hAnsi="Cambria Math"/>
              </w:rPr>
              <m:t>2g</m:t>
            </m:r>
          </m:den>
        </m:f>
      </m:oMath>
      <w:r>
        <w:rPr>
          <w:rFonts w:ascii="Arial" w:hAnsi="Arial" w:cs="Arial"/>
          <w:iCs/>
        </w:rPr>
        <w:t xml:space="preserve">                                                                    </w:t>
      </w:r>
      <w:r w:rsidR="00FC2DFA">
        <w:rPr>
          <w:rFonts w:ascii="Arial" w:hAnsi="Arial" w:cs="Arial"/>
          <w:iCs/>
        </w:rPr>
        <w:t xml:space="preserve">                            </w:t>
      </w:r>
      <w:r>
        <w:rPr>
          <w:rFonts w:ascii="Arial" w:hAnsi="Arial" w:cs="Arial"/>
          <w:iCs/>
        </w:rPr>
        <w:t xml:space="preserve"> (6)</w:t>
      </w:r>
    </w:p>
    <w:p w14:paraId="7BFC8E28" w14:textId="77777777" w:rsidR="00D877E2" w:rsidRDefault="00000000">
      <w:pPr>
        <w:spacing w:after="0" w:line="240" w:lineRule="auto"/>
        <w:jc w:val="both"/>
        <w:rPr>
          <w:rFonts w:ascii="Arial" w:hAnsi="Arial" w:cs="Arial"/>
          <w:iCs/>
        </w:rPr>
      </w:pPr>
      <w:r>
        <w:rPr>
          <w:rFonts w:ascii="Arial" w:hAnsi="Arial" w:cs="Arial"/>
          <w:iCs/>
        </w:rPr>
        <w:t>donde:</w:t>
      </w:r>
    </w:p>
    <w:p w14:paraId="22E68EE4" w14:textId="77777777" w:rsidR="00D877E2" w:rsidRDefault="00000000">
      <w:pPr>
        <w:spacing w:after="0" w:line="240" w:lineRule="auto"/>
        <w:jc w:val="both"/>
        <w:rPr>
          <w:rFonts w:ascii="Arial" w:hAnsi="Arial" w:cs="Arial"/>
          <w:b/>
          <w:bCs/>
          <w:iCs/>
        </w:rPr>
      </w:pPr>
      <w:r>
        <w:rPr>
          <w:noProof/>
        </w:rPr>
        <w:drawing>
          <wp:inline distT="0" distB="0" distL="0" distR="0" wp14:anchorId="7BA57FE7" wp14:editId="1728C4A5">
            <wp:extent cx="3285490" cy="2238375"/>
            <wp:effectExtent l="0" t="0" r="0" b="0"/>
            <wp:docPr id="1"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23"/>
                    <pic:cNvPicPr>
                      <a:picLocks noChangeAspect="1" noChangeArrowheads="1"/>
                    </pic:cNvPicPr>
                  </pic:nvPicPr>
                  <pic:blipFill>
                    <a:blip r:embed="rId9"/>
                    <a:stretch>
                      <a:fillRect/>
                    </a:stretch>
                  </pic:blipFill>
                  <pic:spPr bwMode="auto">
                    <a:xfrm>
                      <a:off x="0" y="0"/>
                      <a:ext cx="3285490" cy="2238375"/>
                    </a:xfrm>
                    <a:prstGeom prst="rect">
                      <a:avLst/>
                    </a:prstGeom>
                    <a:noFill/>
                  </pic:spPr>
                </pic:pic>
              </a:graphicData>
            </a:graphic>
          </wp:inline>
        </w:drawing>
      </w:r>
    </w:p>
    <w:p w14:paraId="02048C23" w14:textId="77777777" w:rsidR="00D877E2" w:rsidRDefault="00000000">
      <w:pPr>
        <w:spacing w:after="0" w:line="240" w:lineRule="auto"/>
        <w:jc w:val="both"/>
        <w:rPr>
          <w:rFonts w:ascii="Arial" w:hAnsi="Arial" w:cs="Arial"/>
          <w:b/>
          <w:bCs/>
          <w:lang w:val="es-ES"/>
        </w:rPr>
      </w:pPr>
      <w:r>
        <w:rPr>
          <w:rFonts w:ascii="Arial" w:hAnsi="Arial" w:cs="Arial"/>
          <w:b/>
          <w:bCs/>
          <w:lang w:val="es-ES"/>
        </w:rPr>
        <w:t>Balance del agua potable.</w:t>
      </w:r>
    </w:p>
    <w:p w14:paraId="0380BCE3" w14:textId="77777777" w:rsidR="00D877E2" w:rsidRDefault="00000000">
      <w:pPr>
        <w:spacing w:after="0" w:line="240" w:lineRule="auto"/>
        <w:jc w:val="both"/>
        <w:rPr>
          <w:rFonts w:ascii="Arial" w:hAnsi="Arial" w:cs="Arial"/>
          <w:b/>
          <w:bCs/>
        </w:rPr>
      </w:pPr>
      <w:r>
        <w:rPr>
          <w:rFonts w:ascii="Arial" w:hAnsi="Arial" w:cs="Arial"/>
          <w:lang w:val="es-ES"/>
        </w:rPr>
        <w:t>Para realizar un análisis del balance de agua potable, se ejecutó un estudio de los consumos de agua y la capacidad de abasto, para lo cual se emplearon las</w:t>
      </w:r>
      <w:r>
        <w:rPr>
          <w:rFonts w:ascii="Arial" w:hAnsi="Arial" w:cs="Arial"/>
          <w:b/>
          <w:bCs/>
          <w:lang w:val="es-ES"/>
        </w:rPr>
        <w:t xml:space="preserve"> </w:t>
      </w:r>
      <w:r>
        <w:rPr>
          <w:rFonts w:ascii="Arial" w:hAnsi="Arial" w:cs="Arial"/>
          <w:lang w:val="es-ES"/>
        </w:rPr>
        <w:t xml:space="preserve">normas cubanas, NC 176:2002 y NC 212: 2002. </w:t>
      </w:r>
    </w:p>
    <w:p w14:paraId="7CDAFD59" w14:textId="77777777" w:rsidR="00D877E2" w:rsidRDefault="00000000">
      <w:pPr>
        <w:spacing w:after="0" w:line="240" w:lineRule="auto"/>
        <w:jc w:val="both"/>
        <w:rPr>
          <w:rFonts w:ascii="Arial" w:hAnsi="Arial" w:cs="Arial"/>
          <w:b/>
          <w:bCs/>
        </w:rPr>
      </w:pPr>
      <w:r>
        <w:rPr>
          <w:rFonts w:ascii="Arial" w:hAnsi="Arial" w:cs="Arial"/>
          <w:b/>
          <w:bCs/>
        </w:rPr>
        <w:t>Economía circular.</w:t>
      </w:r>
      <w:bookmarkEnd w:id="2"/>
    </w:p>
    <w:p w14:paraId="78362898" w14:textId="77777777" w:rsidR="00D877E2" w:rsidRDefault="00000000">
      <w:pPr>
        <w:spacing w:after="0" w:line="240" w:lineRule="auto"/>
        <w:jc w:val="both"/>
        <w:rPr>
          <w:rFonts w:ascii="Arial" w:hAnsi="Arial" w:cs="Arial"/>
        </w:rPr>
      </w:pPr>
      <w:r>
        <w:rPr>
          <w:rFonts w:ascii="Arial" w:hAnsi="Arial" w:cs="Arial"/>
        </w:rPr>
        <w:t>La EC consiste en un flujo cíclico, que implica extraer, transformar, distribuir, usar y recuperar los materiales y la energía de productos y servicios. Lo cual se muestra en la figura 2.</w:t>
      </w:r>
    </w:p>
    <w:p w14:paraId="50C04814" w14:textId="77777777" w:rsidR="00D877E2" w:rsidRDefault="00D877E2">
      <w:pPr>
        <w:spacing w:after="0" w:line="240" w:lineRule="auto"/>
        <w:jc w:val="center"/>
        <w:rPr>
          <w:rFonts w:ascii="Arial" w:hAnsi="Arial" w:cs="Arial"/>
        </w:rPr>
      </w:pPr>
    </w:p>
    <w:p w14:paraId="7B9A00A7" w14:textId="77777777" w:rsidR="00D877E2" w:rsidRDefault="00D877E2">
      <w:pPr>
        <w:spacing w:after="0" w:line="240" w:lineRule="auto"/>
        <w:jc w:val="both"/>
        <w:rPr>
          <w:rFonts w:ascii="Arial" w:hAnsi="Arial" w:cs="Arial"/>
        </w:rPr>
      </w:pPr>
    </w:p>
    <w:p w14:paraId="5E17FB41" w14:textId="77777777" w:rsidR="00D877E2" w:rsidRDefault="00D877E2">
      <w:pPr>
        <w:spacing w:after="0" w:line="240" w:lineRule="auto"/>
        <w:jc w:val="both"/>
        <w:rPr>
          <w:rFonts w:ascii="Arial" w:hAnsi="Arial" w:cs="Arial"/>
        </w:rPr>
      </w:pPr>
    </w:p>
    <w:p w14:paraId="590EDEBA" w14:textId="77777777" w:rsidR="00D877E2" w:rsidRDefault="00000000">
      <w:pPr>
        <w:spacing w:after="0" w:line="240" w:lineRule="auto"/>
        <w:jc w:val="both"/>
        <w:rPr>
          <w:rFonts w:ascii="Arial" w:hAnsi="Arial" w:cs="Arial"/>
        </w:rPr>
      </w:pPr>
      <w:r>
        <w:rPr>
          <w:rFonts w:ascii="Arial" w:hAnsi="Arial" w:cs="Arial"/>
          <w:noProof/>
        </w:rPr>
        <w:lastRenderedPageBreak/>
        <w:drawing>
          <wp:anchor distT="0" distB="0" distL="114300" distR="114300" simplePos="0" relativeHeight="3" behindDoc="1" locked="0" layoutInCell="0" allowOverlap="1" wp14:anchorId="120CAE02" wp14:editId="0B7C41D2">
            <wp:simplePos x="0" y="0"/>
            <wp:positionH relativeFrom="column">
              <wp:posOffset>1760855</wp:posOffset>
            </wp:positionH>
            <wp:positionV relativeFrom="paragraph">
              <wp:posOffset>-443230</wp:posOffset>
            </wp:positionV>
            <wp:extent cx="2583180" cy="1965325"/>
            <wp:effectExtent l="0" t="0" r="0" b="0"/>
            <wp:wrapThrough wrapText="bothSides">
              <wp:wrapPolygon edited="0">
                <wp:start x="2" y="0"/>
                <wp:lineTo x="2" y="21288"/>
                <wp:lineTo x="21391" y="21288"/>
                <wp:lineTo x="21391" y="0"/>
                <wp:lineTo x="2" y="0"/>
              </wp:wrapPolygon>
            </wp:wrapThrough>
            <wp:docPr id="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3"/>
                    <pic:cNvPicPr>
                      <a:picLocks noChangeAspect="1" noChangeArrowheads="1"/>
                    </pic:cNvPicPr>
                  </pic:nvPicPr>
                  <pic:blipFill>
                    <a:blip r:embed="rId10"/>
                    <a:stretch>
                      <a:fillRect/>
                    </a:stretch>
                  </pic:blipFill>
                  <pic:spPr bwMode="auto">
                    <a:xfrm>
                      <a:off x="0" y="0"/>
                      <a:ext cx="2583180" cy="1965325"/>
                    </a:xfrm>
                    <a:prstGeom prst="rect">
                      <a:avLst/>
                    </a:prstGeom>
                    <a:noFill/>
                  </pic:spPr>
                </pic:pic>
              </a:graphicData>
            </a:graphic>
          </wp:anchor>
        </w:drawing>
      </w:r>
    </w:p>
    <w:p w14:paraId="2A8377EA" w14:textId="77777777" w:rsidR="00D877E2" w:rsidRDefault="00D877E2">
      <w:pPr>
        <w:spacing w:after="0" w:line="240" w:lineRule="auto"/>
        <w:jc w:val="both"/>
        <w:rPr>
          <w:rFonts w:ascii="Arial" w:hAnsi="Arial" w:cs="Arial"/>
          <w:lang w:val="es-ES"/>
        </w:rPr>
      </w:pPr>
    </w:p>
    <w:p w14:paraId="109C0688" w14:textId="77777777" w:rsidR="00D877E2" w:rsidRDefault="00D877E2">
      <w:pPr>
        <w:spacing w:after="0" w:line="240" w:lineRule="auto"/>
        <w:jc w:val="both"/>
        <w:rPr>
          <w:rFonts w:ascii="Arial" w:hAnsi="Arial" w:cs="Arial"/>
          <w:lang w:val="es-ES"/>
        </w:rPr>
      </w:pPr>
    </w:p>
    <w:p w14:paraId="4CB33D90" w14:textId="77777777" w:rsidR="00D877E2" w:rsidRDefault="00D877E2">
      <w:pPr>
        <w:spacing w:after="0" w:line="240" w:lineRule="auto"/>
        <w:jc w:val="both"/>
        <w:rPr>
          <w:rFonts w:ascii="Arial" w:hAnsi="Arial" w:cs="Arial"/>
          <w:lang w:val="es-ES"/>
        </w:rPr>
      </w:pPr>
    </w:p>
    <w:p w14:paraId="134D92F5" w14:textId="77777777" w:rsidR="00D877E2" w:rsidRDefault="00D877E2">
      <w:pPr>
        <w:spacing w:after="0" w:line="240" w:lineRule="auto"/>
        <w:jc w:val="both"/>
        <w:rPr>
          <w:rFonts w:ascii="Arial" w:hAnsi="Arial" w:cs="Arial"/>
          <w:lang w:val="es-ES"/>
        </w:rPr>
      </w:pPr>
    </w:p>
    <w:p w14:paraId="220B8C16" w14:textId="77777777" w:rsidR="00D877E2" w:rsidRDefault="00D877E2">
      <w:pPr>
        <w:spacing w:after="0" w:line="240" w:lineRule="auto"/>
        <w:jc w:val="both"/>
        <w:rPr>
          <w:rFonts w:ascii="Arial" w:hAnsi="Arial" w:cs="Arial"/>
          <w:lang w:val="es-ES"/>
        </w:rPr>
      </w:pPr>
    </w:p>
    <w:p w14:paraId="3009DB9E" w14:textId="77777777" w:rsidR="00D877E2" w:rsidRDefault="00D877E2">
      <w:pPr>
        <w:spacing w:after="0" w:line="240" w:lineRule="auto"/>
        <w:jc w:val="both"/>
        <w:rPr>
          <w:rFonts w:ascii="Arial" w:hAnsi="Arial" w:cs="Arial"/>
          <w:lang w:val="es-ES"/>
        </w:rPr>
      </w:pPr>
    </w:p>
    <w:p w14:paraId="053B1C03" w14:textId="77777777" w:rsidR="00D877E2" w:rsidRDefault="00D877E2">
      <w:pPr>
        <w:spacing w:after="0" w:line="240" w:lineRule="auto"/>
        <w:jc w:val="both"/>
        <w:rPr>
          <w:rFonts w:ascii="Arial" w:hAnsi="Arial" w:cs="Arial"/>
          <w:lang w:val="es-ES"/>
        </w:rPr>
      </w:pPr>
    </w:p>
    <w:p w14:paraId="47AE49E0" w14:textId="77777777" w:rsidR="00D877E2" w:rsidRDefault="00D877E2">
      <w:pPr>
        <w:spacing w:after="0" w:line="240" w:lineRule="auto"/>
        <w:jc w:val="both"/>
        <w:rPr>
          <w:rFonts w:ascii="Arial" w:hAnsi="Arial" w:cs="Arial"/>
          <w:lang w:val="es-ES"/>
        </w:rPr>
      </w:pPr>
    </w:p>
    <w:p w14:paraId="0454E55A" w14:textId="77777777" w:rsidR="00D877E2" w:rsidRDefault="00D877E2">
      <w:pPr>
        <w:spacing w:after="0" w:line="240" w:lineRule="auto"/>
        <w:jc w:val="both"/>
        <w:rPr>
          <w:rFonts w:ascii="Arial" w:hAnsi="Arial" w:cs="Arial"/>
          <w:lang w:val="es-ES"/>
        </w:rPr>
      </w:pPr>
    </w:p>
    <w:p w14:paraId="47EF7268" w14:textId="77777777" w:rsidR="00D877E2" w:rsidRDefault="00D877E2">
      <w:pPr>
        <w:spacing w:after="0" w:line="240" w:lineRule="auto"/>
        <w:jc w:val="center"/>
        <w:rPr>
          <w:rFonts w:ascii="Arial" w:hAnsi="Arial"/>
        </w:rPr>
      </w:pPr>
    </w:p>
    <w:p w14:paraId="4804C8E9" w14:textId="77777777" w:rsidR="00D877E2" w:rsidRDefault="00D877E2">
      <w:pPr>
        <w:spacing w:after="0" w:line="240" w:lineRule="auto"/>
        <w:jc w:val="center"/>
        <w:rPr>
          <w:rFonts w:ascii="Arial" w:hAnsi="Arial"/>
        </w:rPr>
      </w:pPr>
    </w:p>
    <w:p w14:paraId="7A9C7745" w14:textId="77777777" w:rsidR="00D877E2" w:rsidRDefault="00000000">
      <w:pPr>
        <w:spacing w:after="0" w:line="240" w:lineRule="auto"/>
        <w:jc w:val="center"/>
        <w:rPr>
          <w:rFonts w:ascii="Arial" w:hAnsi="Arial"/>
        </w:rPr>
      </w:pPr>
      <w:r>
        <w:rPr>
          <w:rFonts w:ascii="Arial" w:hAnsi="Arial"/>
        </w:rPr>
        <w:t>Figura 2. Ciclo de economía circular. ([</w:t>
      </w:r>
      <w:r>
        <w:rPr>
          <w:rFonts w:ascii="Arial" w:hAnsi="Arial" w:cs="Arial"/>
        </w:rPr>
        <w:t>Prieto y Jaca,2017)</w:t>
      </w:r>
    </w:p>
    <w:p w14:paraId="5F989018" w14:textId="77777777" w:rsidR="00D877E2" w:rsidRDefault="00D877E2">
      <w:pPr>
        <w:spacing w:after="0" w:line="240" w:lineRule="auto"/>
        <w:jc w:val="center"/>
        <w:rPr>
          <w:rFonts w:ascii="Arial" w:hAnsi="Arial" w:cs="Arial"/>
        </w:rPr>
      </w:pPr>
    </w:p>
    <w:p w14:paraId="7ADCD6A3" w14:textId="77777777" w:rsidR="00D877E2" w:rsidRDefault="00000000">
      <w:pPr>
        <w:pStyle w:val="Prrafodelista"/>
        <w:numPr>
          <w:ilvl w:val="0"/>
          <w:numId w:val="1"/>
        </w:numPr>
        <w:tabs>
          <w:tab w:val="left" w:pos="360"/>
        </w:tabs>
        <w:spacing w:after="0" w:line="240" w:lineRule="auto"/>
        <w:ind w:left="0" w:firstLine="0"/>
        <w:jc w:val="both"/>
        <w:rPr>
          <w:rFonts w:ascii="Arial" w:hAnsi="Arial" w:cs="Arial"/>
          <w:b/>
          <w:bCs/>
          <w:iCs/>
          <w:lang w:val="es-MX"/>
        </w:rPr>
      </w:pPr>
      <w:r>
        <w:rPr>
          <w:rFonts w:ascii="Arial" w:hAnsi="Arial" w:cs="Arial"/>
          <w:b/>
          <w:bCs/>
          <w:iCs/>
          <w:lang w:val="es-MX"/>
        </w:rPr>
        <w:t>Resultados y Discusión.</w:t>
      </w:r>
    </w:p>
    <w:p w14:paraId="052316F7" w14:textId="77777777" w:rsidR="00D877E2" w:rsidRDefault="00000000">
      <w:pPr>
        <w:pStyle w:val="Prrafodelista"/>
        <w:spacing w:after="0" w:line="240" w:lineRule="auto"/>
        <w:ind w:left="0"/>
        <w:jc w:val="both"/>
        <w:rPr>
          <w:rFonts w:ascii="Arial" w:hAnsi="Arial" w:cs="Arial"/>
          <w:b/>
          <w:bCs/>
          <w:lang w:val="es-ES"/>
        </w:rPr>
      </w:pPr>
      <w:bookmarkStart w:id="4" w:name="_Hlk209648515"/>
      <w:r>
        <w:rPr>
          <w:rFonts w:ascii="Arial" w:hAnsi="Arial" w:cs="Arial"/>
          <w:b/>
          <w:bCs/>
          <w:lang w:val="es-ES"/>
        </w:rPr>
        <w:t xml:space="preserve">Consumos de agua, </w:t>
      </w:r>
      <w:r>
        <w:rPr>
          <w:rFonts w:ascii="Arial" w:hAnsi="Arial" w:cs="Arial"/>
        </w:rPr>
        <w:t>se muestran en la tabla 1.</w:t>
      </w:r>
    </w:p>
    <w:p w14:paraId="2E34BD00" w14:textId="08F779AC" w:rsidR="00D877E2" w:rsidRDefault="00000000">
      <w:pPr>
        <w:spacing w:after="0" w:line="240" w:lineRule="auto"/>
        <w:jc w:val="center"/>
        <w:rPr>
          <w:rFonts w:ascii="Arial" w:hAnsi="Arial" w:cs="Arial"/>
          <w:bCs/>
          <w:lang w:val="es-CU"/>
        </w:rPr>
      </w:pPr>
      <w:r>
        <w:rPr>
          <w:rFonts w:ascii="Arial" w:hAnsi="Arial" w:cs="Arial"/>
          <w:b/>
          <w:bCs/>
        </w:rPr>
        <w:t xml:space="preserve">Tabla 1.  </w:t>
      </w:r>
      <w:r w:rsidR="00FC2DFA">
        <w:rPr>
          <w:rFonts w:ascii="Arial" w:hAnsi="Arial" w:cs="Arial"/>
        </w:rPr>
        <w:t>C</w:t>
      </w:r>
      <w:proofErr w:type="spellStart"/>
      <w:r>
        <w:rPr>
          <w:rFonts w:ascii="Arial" w:hAnsi="Arial" w:cs="Arial"/>
          <w:lang w:val="es-ES"/>
        </w:rPr>
        <w:t>onsumos</w:t>
      </w:r>
      <w:proofErr w:type="spellEnd"/>
      <w:r>
        <w:rPr>
          <w:rFonts w:ascii="Arial" w:hAnsi="Arial" w:cs="Arial"/>
          <w:lang w:val="es-ES"/>
        </w:rPr>
        <w:t xml:space="preserve"> de agua.</w:t>
      </w:r>
      <w:bookmarkStart w:id="5" w:name="_Hlk233759927"/>
      <w:bookmarkEnd w:id="5"/>
    </w:p>
    <w:tbl>
      <w:tblPr>
        <w:tblStyle w:val="Tablaconcuadrcula1"/>
        <w:tblW w:w="10980" w:type="dxa"/>
        <w:jc w:val="center"/>
        <w:tblLayout w:type="fixed"/>
        <w:tblLook w:val="04A0" w:firstRow="1" w:lastRow="0" w:firstColumn="1" w:lastColumn="0" w:noHBand="0" w:noVBand="1"/>
      </w:tblPr>
      <w:tblGrid>
        <w:gridCol w:w="2158"/>
        <w:gridCol w:w="632"/>
        <w:gridCol w:w="1260"/>
        <w:gridCol w:w="2250"/>
        <w:gridCol w:w="1348"/>
        <w:gridCol w:w="1981"/>
        <w:gridCol w:w="1351"/>
      </w:tblGrid>
      <w:tr w:rsidR="00D877E2" w14:paraId="78BC1057" w14:textId="77777777">
        <w:trPr>
          <w:trHeight w:val="510"/>
          <w:jc w:val="center"/>
        </w:trPr>
        <w:tc>
          <w:tcPr>
            <w:tcW w:w="4050" w:type="dxa"/>
            <w:gridSpan w:val="3"/>
          </w:tcPr>
          <w:p w14:paraId="3843767A" w14:textId="77777777" w:rsidR="00D877E2" w:rsidRDefault="00000000">
            <w:pPr>
              <w:spacing w:after="0" w:line="240" w:lineRule="auto"/>
              <w:jc w:val="center"/>
              <w:rPr>
                <w:rFonts w:ascii="Arial" w:eastAsia="Aptos" w:hAnsi="Arial" w:cs="Arial"/>
                <w:b/>
                <w:bCs/>
                <w:sz w:val="22"/>
                <w:szCs w:val="22"/>
              </w:rPr>
            </w:pPr>
            <w:r>
              <w:rPr>
                <w:rFonts w:ascii="Arial" w:eastAsia="Aptos" w:hAnsi="Arial" w:cs="Arial"/>
                <w:b/>
                <w:bCs/>
                <w:sz w:val="22"/>
                <w:szCs w:val="22"/>
              </w:rPr>
              <w:t>Consumo de agua por índice</w:t>
            </w:r>
          </w:p>
        </w:tc>
        <w:tc>
          <w:tcPr>
            <w:tcW w:w="3598" w:type="dxa"/>
            <w:gridSpan w:val="2"/>
          </w:tcPr>
          <w:p w14:paraId="0F24F91F" w14:textId="77777777" w:rsidR="00D877E2" w:rsidRDefault="00000000">
            <w:pPr>
              <w:spacing w:after="0" w:line="240" w:lineRule="auto"/>
              <w:jc w:val="center"/>
              <w:rPr>
                <w:rFonts w:ascii="Arial" w:eastAsia="Aptos" w:hAnsi="Arial" w:cs="Arial"/>
                <w:b/>
                <w:bCs/>
                <w:sz w:val="22"/>
                <w:szCs w:val="22"/>
              </w:rPr>
            </w:pPr>
            <w:r>
              <w:rPr>
                <w:rFonts w:ascii="Arial" w:eastAsia="Aptos" w:hAnsi="Arial" w:cs="Arial"/>
                <w:b/>
                <w:bCs/>
                <w:sz w:val="22"/>
                <w:szCs w:val="22"/>
              </w:rPr>
              <w:t>Consumo de agua por Resolución 17/20</w:t>
            </w:r>
          </w:p>
        </w:tc>
        <w:tc>
          <w:tcPr>
            <w:tcW w:w="3332" w:type="dxa"/>
            <w:gridSpan w:val="2"/>
          </w:tcPr>
          <w:p w14:paraId="1875C2BA" w14:textId="77777777" w:rsidR="00D877E2" w:rsidRDefault="00000000">
            <w:pPr>
              <w:spacing w:after="0" w:line="240" w:lineRule="auto"/>
              <w:jc w:val="center"/>
              <w:rPr>
                <w:rFonts w:ascii="Arial" w:eastAsia="Aptos" w:hAnsi="Arial" w:cs="Arial"/>
                <w:b/>
                <w:bCs/>
                <w:sz w:val="22"/>
                <w:szCs w:val="22"/>
              </w:rPr>
            </w:pPr>
            <w:r>
              <w:rPr>
                <w:rFonts w:ascii="Arial" w:eastAsia="Aptos" w:hAnsi="Arial" w:cs="Arial"/>
                <w:b/>
                <w:bCs/>
                <w:sz w:val="22"/>
                <w:szCs w:val="22"/>
              </w:rPr>
              <w:t>Consumo de agua en la fábrica</w:t>
            </w:r>
          </w:p>
        </w:tc>
      </w:tr>
      <w:tr w:rsidR="00D877E2" w14:paraId="2DEA6897" w14:textId="77777777">
        <w:trPr>
          <w:trHeight w:val="543"/>
          <w:jc w:val="center"/>
        </w:trPr>
        <w:tc>
          <w:tcPr>
            <w:tcW w:w="2158" w:type="dxa"/>
          </w:tcPr>
          <w:p w14:paraId="61CBD157" w14:textId="77777777" w:rsidR="00D877E2" w:rsidRDefault="00000000">
            <w:pPr>
              <w:spacing w:after="0" w:line="240" w:lineRule="auto"/>
              <w:rPr>
                <w:rFonts w:ascii="Arial" w:eastAsia="Aptos" w:hAnsi="Arial" w:cs="Arial"/>
                <w:b/>
                <w:bCs/>
                <w:sz w:val="22"/>
                <w:szCs w:val="22"/>
              </w:rPr>
            </w:pPr>
            <w:r>
              <w:rPr>
                <w:rFonts w:ascii="Arial" w:eastAsia="Aptos" w:hAnsi="Arial" w:cs="Arial"/>
                <w:b/>
                <w:bCs/>
                <w:sz w:val="22"/>
                <w:szCs w:val="22"/>
              </w:rPr>
              <w:t>PRODUCTO</w:t>
            </w:r>
          </w:p>
        </w:tc>
        <w:tc>
          <w:tcPr>
            <w:tcW w:w="632" w:type="dxa"/>
          </w:tcPr>
          <w:p w14:paraId="632ADAA2" w14:textId="77777777" w:rsidR="00D877E2" w:rsidRDefault="00000000">
            <w:pPr>
              <w:spacing w:after="0" w:line="240" w:lineRule="auto"/>
              <w:jc w:val="center"/>
              <w:rPr>
                <w:rFonts w:ascii="Arial" w:eastAsia="Aptos" w:hAnsi="Arial" w:cs="Arial"/>
                <w:b/>
                <w:bCs/>
                <w:sz w:val="22"/>
                <w:szCs w:val="22"/>
              </w:rPr>
            </w:pPr>
            <w:r>
              <w:rPr>
                <w:rFonts w:ascii="Arial" w:eastAsia="Aptos" w:hAnsi="Arial" w:cs="Arial"/>
                <w:b/>
                <w:bCs/>
                <w:sz w:val="22"/>
                <w:szCs w:val="22"/>
              </w:rPr>
              <w:t>UM</w:t>
            </w:r>
          </w:p>
        </w:tc>
        <w:tc>
          <w:tcPr>
            <w:tcW w:w="1260" w:type="dxa"/>
          </w:tcPr>
          <w:p w14:paraId="7E12657E" w14:textId="77777777" w:rsidR="00D877E2" w:rsidRDefault="00000000">
            <w:pPr>
              <w:spacing w:after="0" w:line="240" w:lineRule="auto"/>
              <w:jc w:val="center"/>
              <w:rPr>
                <w:rFonts w:ascii="Arial" w:eastAsia="Aptos" w:hAnsi="Arial" w:cs="Arial"/>
                <w:b/>
                <w:bCs/>
                <w:sz w:val="22"/>
                <w:szCs w:val="22"/>
              </w:rPr>
            </w:pPr>
            <w:r>
              <w:rPr>
                <w:rFonts w:ascii="Arial" w:eastAsia="Aptos" w:hAnsi="Arial" w:cs="Arial"/>
                <w:b/>
                <w:bCs/>
                <w:sz w:val="22"/>
                <w:szCs w:val="22"/>
              </w:rPr>
              <w:t>Real</w:t>
            </w:r>
          </w:p>
        </w:tc>
        <w:tc>
          <w:tcPr>
            <w:tcW w:w="2250" w:type="dxa"/>
          </w:tcPr>
          <w:p w14:paraId="22CCA184" w14:textId="77777777" w:rsidR="00D877E2" w:rsidRDefault="00000000">
            <w:pPr>
              <w:spacing w:after="0" w:line="240" w:lineRule="auto"/>
              <w:jc w:val="center"/>
              <w:rPr>
                <w:rFonts w:ascii="Arial" w:eastAsia="Aptos" w:hAnsi="Arial" w:cs="Arial"/>
                <w:b/>
                <w:bCs/>
                <w:sz w:val="22"/>
                <w:szCs w:val="22"/>
              </w:rPr>
            </w:pPr>
            <w:r>
              <w:rPr>
                <w:rFonts w:ascii="Arial" w:eastAsia="Aptos" w:hAnsi="Arial" w:cs="Arial"/>
                <w:b/>
                <w:bCs/>
                <w:sz w:val="22"/>
                <w:szCs w:val="22"/>
              </w:rPr>
              <w:t>Índice de consumo (m</w:t>
            </w:r>
            <w:r>
              <w:rPr>
                <w:rFonts w:ascii="Arial" w:eastAsia="Aptos" w:hAnsi="Arial" w:cs="Arial"/>
                <w:b/>
                <w:bCs/>
                <w:sz w:val="22"/>
                <w:szCs w:val="22"/>
                <w:vertAlign w:val="superscript"/>
              </w:rPr>
              <w:t>3</w:t>
            </w:r>
            <w:r>
              <w:rPr>
                <w:rFonts w:ascii="Arial" w:eastAsia="Aptos" w:hAnsi="Arial" w:cs="Arial"/>
                <w:b/>
                <w:bCs/>
                <w:sz w:val="22"/>
                <w:szCs w:val="22"/>
              </w:rPr>
              <w:t>/t)</w:t>
            </w:r>
          </w:p>
        </w:tc>
        <w:tc>
          <w:tcPr>
            <w:tcW w:w="1348" w:type="dxa"/>
          </w:tcPr>
          <w:p w14:paraId="1F5CF97B" w14:textId="77777777" w:rsidR="00D877E2" w:rsidRDefault="00000000">
            <w:pPr>
              <w:spacing w:after="0" w:line="240" w:lineRule="auto"/>
              <w:jc w:val="center"/>
              <w:rPr>
                <w:rFonts w:ascii="Arial" w:eastAsia="Aptos" w:hAnsi="Arial" w:cs="Arial"/>
                <w:b/>
                <w:bCs/>
                <w:sz w:val="22"/>
                <w:szCs w:val="22"/>
              </w:rPr>
            </w:pPr>
            <w:r>
              <w:rPr>
                <w:rFonts w:ascii="Arial" w:eastAsia="Aptos" w:hAnsi="Arial" w:cs="Arial"/>
                <w:b/>
                <w:bCs/>
                <w:sz w:val="22"/>
                <w:szCs w:val="22"/>
              </w:rPr>
              <w:t>Consumo (m</w:t>
            </w:r>
            <w:r>
              <w:rPr>
                <w:rFonts w:ascii="Arial" w:eastAsia="Aptos" w:hAnsi="Arial" w:cs="Arial"/>
                <w:b/>
                <w:bCs/>
                <w:sz w:val="22"/>
                <w:szCs w:val="22"/>
                <w:vertAlign w:val="superscript"/>
              </w:rPr>
              <w:t>3</w:t>
            </w:r>
            <w:r>
              <w:rPr>
                <w:rFonts w:ascii="Arial" w:eastAsia="Aptos" w:hAnsi="Arial" w:cs="Arial"/>
                <w:b/>
                <w:bCs/>
                <w:sz w:val="22"/>
                <w:szCs w:val="22"/>
              </w:rPr>
              <w:t>)</w:t>
            </w:r>
          </w:p>
        </w:tc>
        <w:tc>
          <w:tcPr>
            <w:tcW w:w="1981" w:type="dxa"/>
          </w:tcPr>
          <w:p w14:paraId="4CDBA3D2" w14:textId="77777777" w:rsidR="00D877E2" w:rsidRDefault="00000000">
            <w:pPr>
              <w:spacing w:after="0" w:line="240" w:lineRule="auto"/>
              <w:jc w:val="center"/>
              <w:rPr>
                <w:rFonts w:ascii="Arial" w:eastAsia="Aptos" w:hAnsi="Arial" w:cs="Arial"/>
                <w:b/>
                <w:bCs/>
                <w:sz w:val="22"/>
                <w:szCs w:val="22"/>
              </w:rPr>
            </w:pPr>
            <w:r>
              <w:rPr>
                <w:rFonts w:ascii="Arial" w:eastAsia="Aptos" w:hAnsi="Arial" w:cs="Arial"/>
                <w:b/>
                <w:bCs/>
                <w:sz w:val="22"/>
                <w:szCs w:val="22"/>
              </w:rPr>
              <w:t>Índice de consumo (m</w:t>
            </w:r>
            <w:r>
              <w:rPr>
                <w:rFonts w:ascii="Arial" w:eastAsia="Aptos" w:hAnsi="Arial" w:cs="Arial"/>
                <w:b/>
                <w:bCs/>
                <w:sz w:val="22"/>
                <w:szCs w:val="22"/>
                <w:vertAlign w:val="superscript"/>
              </w:rPr>
              <w:t>3</w:t>
            </w:r>
            <w:r>
              <w:rPr>
                <w:rFonts w:ascii="Arial" w:eastAsia="Aptos" w:hAnsi="Arial" w:cs="Arial"/>
                <w:b/>
                <w:bCs/>
                <w:sz w:val="22"/>
                <w:szCs w:val="22"/>
              </w:rPr>
              <w:t>/t)</w:t>
            </w:r>
          </w:p>
        </w:tc>
        <w:tc>
          <w:tcPr>
            <w:tcW w:w="1351" w:type="dxa"/>
          </w:tcPr>
          <w:p w14:paraId="21289BB6" w14:textId="77777777" w:rsidR="00D877E2" w:rsidRDefault="00000000">
            <w:pPr>
              <w:spacing w:after="0" w:line="240" w:lineRule="auto"/>
              <w:jc w:val="center"/>
              <w:rPr>
                <w:rFonts w:ascii="Arial" w:eastAsia="Aptos" w:hAnsi="Arial" w:cs="Arial"/>
                <w:b/>
                <w:bCs/>
                <w:sz w:val="22"/>
                <w:szCs w:val="22"/>
              </w:rPr>
            </w:pPr>
            <w:r>
              <w:rPr>
                <w:rFonts w:ascii="Arial" w:eastAsia="Aptos" w:hAnsi="Arial" w:cs="Arial"/>
                <w:b/>
                <w:bCs/>
                <w:sz w:val="22"/>
                <w:szCs w:val="22"/>
              </w:rPr>
              <w:t>Consumo (m</w:t>
            </w:r>
            <w:r>
              <w:rPr>
                <w:rFonts w:ascii="Arial" w:eastAsia="Aptos" w:hAnsi="Arial" w:cs="Arial"/>
                <w:b/>
                <w:bCs/>
                <w:sz w:val="22"/>
                <w:szCs w:val="22"/>
                <w:vertAlign w:val="superscript"/>
              </w:rPr>
              <w:t>3</w:t>
            </w:r>
            <w:r>
              <w:rPr>
                <w:rFonts w:ascii="Arial" w:eastAsia="Aptos" w:hAnsi="Arial" w:cs="Arial"/>
                <w:b/>
                <w:bCs/>
                <w:sz w:val="22"/>
                <w:szCs w:val="22"/>
              </w:rPr>
              <w:t>)</w:t>
            </w:r>
          </w:p>
        </w:tc>
      </w:tr>
      <w:tr w:rsidR="00D877E2" w14:paraId="4A0ECF0F" w14:textId="77777777">
        <w:trPr>
          <w:trHeight w:val="326"/>
          <w:jc w:val="center"/>
        </w:trPr>
        <w:tc>
          <w:tcPr>
            <w:tcW w:w="2158" w:type="dxa"/>
          </w:tcPr>
          <w:p w14:paraId="14BB29AC" w14:textId="77777777" w:rsidR="00D877E2" w:rsidRDefault="00000000">
            <w:pPr>
              <w:spacing w:after="0" w:line="240" w:lineRule="auto"/>
              <w:rPr>
                <w:rFonts w:ascii="Arial" w:eastAsia="Aptos" w:hAnsi="Arial" w:cs="Arial"/>
                <w:b/>
                <w:sz w:val="22"/>
                <w:szCs w:val="22"/>
              </w:rPr>
            </w:pPr>
            <w:r>
              <w:rPr>
                <w:rFonts w:ascii="Arial" w:eastAsia="Aptos" w:hAnsi="Arial" w:cs="Arial"/>
                <w:b/>
                <w:sz w:val="22"/>
                <w:szCs w:val="22"/>
              </w:rPr>
              <w:t xml:space="preserve">Producción Total </w:t>
            </w:r>
          </w:p>
        </w:tc>
        <w:tc>
          <w:tcPr>
            <w:tcW w:w="632" w:type="dxa"/>
            <w:vAlign w:val="center"/>
          </w:tcPr>
          <w:p w14:paraId="6B3A6387" w14:textId="77777777" w:rsidR="00D877E2" w:rsidRDefault="00000000">
            <w:pPr>
              <w:spacing w:after="0" w:line="240" w:lineRule="auto"/>
              <w:jc w:val="center"/>
              <w:rPr>
                <w:rFonts w:ascii="Arial" w:eastAsia="Aptos" w:hAnsi="Arial" w:cs="Arial"/>
                <w:sz w:val="22"/>
                <w:szCs w:val="22"/>
              </w:rPr>
            </w:pPr>
            <w:r>
              <w:rPr>
                <w:rFonts w:ascii="Arial" w:eastAsia="Aptos" w:hAnsi="Arial" w:cs="Arial"/>
                <w:sz w:val="22"/>
                <w:szCs w:val="22"/>
              </w:rPr>
              <w:t>t</w:t>
            </w:r>
          </w:p>
        </w:tc>
        <w:tc>
          <w:tcPr>
            <w:tcW w:w="1260" w:type="dxa"/>
            <w:vAlign w:val="center"/>
          </w:tcPr>
          <w:p w14:paraId="3A092D27" w14:textId="77777777" w:rsidR="00D877E2" w:rsidRDefault="00000000">
            <w:pPr>
              <w:spacing w:after="0" w:line="240" w:lineRule="auto"/>
              <w:jc w:val="center"/>
              <w:rPr>
                <w:rFonts w:ascii="Arial" w:eastAsia="Aptos" w:hAnsi="Arial" w:cs="Arial"/>
                <w:bCs/>
                <w:sz w:val="22"/>
                <w:szCs w:val="22"/>
              </w:rPr>
            </w:pPr>
            <w:r>
              <w:rPr>
                <w:rFonts w:ascii="Arial" w:eastAsia="Aptos" w:hAnsi="Arial" w:cs="Arial"/>
                <w:bCs/>
                <w:sz w:val="22"/>
                <w:szCs w:val="22"/>
              </w:rPr>
              <w:t>11127,29</w:t>
            </w:r>
          </w:p>
        </w:tc>
        <w:tc>
          <w:tcPr>
            <w:tcW w:w="2250" w:type="dxa"/>
            <w:vAlign w:val="center"/>
          </w:tcPr>
          <w:p w14:paraId="0D15F56E" w14:textId="77777777" w:rsidR="00D877E2" w:rsidRDefault="00000000">
            <w:pPr>
              <w:spacing w:after="0" w:line="240" w:lineRule="auto"/>
              <w:jc w:val="center"/>
              <w:rPr>
                <w:rFonts w:ascii="Arial" w:eastAsia="Aptos" w:hAnsi="Arial" w:cs="Arial"/>
                <w:bCs/>
                <w:sz w:val="22"/>
                <w:szCs w:val="22"/>
              </w:rPr>
            </w:pPr>
            <w:r>
              <w:rPr>
                <w:rFonts w:ascii="Arial" w:eastAsia="Aptos" w:hAnsi="Arial" w:cs="Arial"/>
                <w:bCs/>
                <w:sz w:val="22"/>
                <w:szCs w:val="22"/>
              </w:rPr>
              <w:t>6</w:t>
            </w:r>
          </w:p>
        </w:tc>
        <w:tc>
          <w:tcPr>
            <w:tcW w:w="1348" w:type="dxa"/>
            <w:vAlign w:val="center"/>
          </w:tcPr>
          <w:p w14:paraId="1E7542A6" w14:textId="77777777" w:rsidR="00D877E2" w:rsidRDefault="00000000">
            <w:pPr>
              <w:spacing w:after="0" w:line="240" w:lineRule="auto"/>
              <w:jc w:val="center"/>
              <w:rPr>
                <w:rFonts w:ascii="Arial" w:eastAsia="Aptos" w:hAnsi="Arial" w:cs="Arial"/>
                <w:sz w:val="22"/>
                <w:szCs w:val="22"/>
              </w:rPr>
            </w:pPr>
            <w:r>
              <w:rPr>
                <w:rFonts w:ascii="Arial" w:eastAsia="Aptos" w:hAnsi="Arial" w:cs="Arial"/>
                <w:sz w:val="22"/>
                <w:szCs w:val="22"/>
              </w:rPr>
              <w:t>67090,78</w:t>
            </w:r>
          </w:p>
        </w:tc>
        <w:tc>
          <w:tcPr>
            <w:tcW w:w="1981" w:type="dxa"/>
            <w:vAlign w:val="center"/>
          </w:tcPr>
          <w:p w14:paraId="138A8AF0" w14:textId="77777777" w:rsidR="00D877E2" w:rsidRDefault="00000000">
            <w:pPr>
              <w:spacing w:after="0" w:line="240" w:lineRule="auto"/>
              <w:jc w:val="center"/>
              <w:rPr>
                <w:rFonts w:ascii="Arial" w:eastAsia="Aptos" w:hAnsi="Arial" w:cs="Arial"/>
                <w:sz w:val="22"/>
                <w:szCs w:val="22"/>
              </w:rPr>
            </w:pPr>
            <w:r>
              <w:rPr>
                <w:rFonts w:ascii="Arial" w:eastAsia="Aptos" w:hAnsi="Arial" w:cs="Arial"/>
                <w:sz w:val="22"/>
                <w:szCs w:val="22"/>
              </w:rPr>
              <w:t>7</w:t>
            </w:r>
          </w:p>
        </w:tc>
        <w:tc>
          <w:tcPr>
            <w:tcW w:w="1351" w:type="dxa"/>
            <w:vAlign w:val="center"/>
          </w:tcPr>
          <w:p w14:paraId="4500C83E" w14:textId="77777777" w:rsidR="00D877E2" w:rsidRDefault="00000000">
            <w:pPr>
              <w:spacing w:after="0" w:line="240" w:lineRule="auto"/>
              <w:jc w:val="center"/>
              <w:rPr>
                <w:rFonts w:ascii="Arial" w:eastAsia="Aptos" w:hAnsi="Arial" w:cs="Arial"/>
                <w:sz w:val="22"/>
                <w:szCs w:val="22"/>
              </w:rPr>
            </w:pPr>
            <w:r>
              <w:rPr>
                <w:rFonts w:ascii="Arial" w:eastAsia="Aptos" w:hAnsi="Arial" w:cs="Arial"/>
                <w:sz w:val="22"/>
                <w:szCs w:val="22"/>
              </w:rPr>
              <w:t>72845</w:t>
            </w:r>
          </w:p>
        </w:tc>
      </w:tr>
      <w:tr w:rsidR="00D877E2" w14:paraId="16BCC74A" w14:textId="77777777">
        <w:trPr>
          <w:trHeight w:val="250"/>
          <w:jc w:val="center"/>
        </w:trPr>
        <w:tc>
          <w:tcPr>
            <w:tcW w:w="2158" w:type="dxa"/>
          </w:tcPr>
          <w:p w14:paraId="352A58CD" w14:textId="77777777" w:rsidR="00D877E2" w:rsidRDefault="00000000">
            <w:pPr>
              <w:spacing w:after="0" w:line="240" w:lineRule="auto"/>
              <w:rPr>
                <w:rFonts w:ascii="Arial" w:eastAsia="Aptos" w:hAnsi="Arial" w:cs="Arial"/>
                <w:b/>
                <w:sz w:val="22"/>
                <w:szCs w:val="22"/>
              </w:rPr>
            </w:pPr>
            <w:r>
              <w:rPr>
                <w:rFonts w:ascii="Arial" w:eastAsia="Aptos" w:hAnsi="Arial" w:cs="Arial"/>
                <w:b/>
                <w:sz w:val="22"/>
                <w:szCs w:val="22"/>
              </w:rPr>
              <w:t>Actividades de funcionamiento</w:t>
            </w:r>
          </w:p>
        </w:tc>
        <w:tc>
          <w:tcPr>
            <w:tcW w:w="632" w:type="dxa"/>
            <w:vAlign w:val="center"/>
          </w:tcPr>
          <w:p w14:paraId="349D8EF5" w14:textId="77777777" w:rsidR="00D877E2" w:rsidRDefault="00000000">
            <w:pPr>
              <w:spacing w:after="0" w:line="240" w:lineRule="auto"/>
              <w:jc w:val="center"/>
              <w:rPr>
                <w:rFonts w:ascii="Arial" w:eastAsia="Aptos" w:hAnsi="Arial" w:cs="Arial"/>
                <w:sz w:val="22"/>
                <w:szCs w:val="22"/>
                <w:vertAlign w:val="superscript"/>
              </w:rPr>
            </w:pPr>
            <w:r>
              <w:rPr>
                <w:rFonts w:ascii="Arial" w:eastAsia="Aptos" w:hAnsi="Arial" w:cs="Arial"/>
                <w:sz w:val="22"/>
                <w:szCs w:val="22"/>
              </w:rPr>
              <w:t>m</w:t>
            </w:r>
            <w:r>
              <w:rPr>
                <w:rFonts w:ascii="Arial" w:eastAsia="Aptos" w:hAnsi="Arial" w:cs="Arial"/>
                <w:sz w:val="22"/>
                <w:szCs w:val="22"/>
                <w:vertAlign w:val="superscript"/>
              </w:rPr>
              <w:t>3</w:t>
            </w:r>
          </w:p>
        </w:tc>
        <w:tc>
          <w:tcPr>
            <w:tcW w:w="1260" w:type="dxa"/>
            <w:vAlign w:val="center"/>
          </w:tcPr>
          <w:p w14:paraId="1B8228B8" w14:textId="77777777" w:rsidR="00D877E2" w:rsidRDefault="00D877E2">
            <w:pPr>
              <w:spacing w:after="0" w:line="240" w:lineRule="auto"/>
              <w:jc w:val="center"/>
              <w:rPr>
                <w:rFonts w:ascii="Arial" w:eastAsia="Aptos" w:hAnsi="Arial" w:cs="Arial"/>
                <w:sz w:val="22"/>
                <w:szCs w:val="22"/>
              </w:rPr>
            </w:pPr>
          </w:p>
        </w:tc>
        <w:tc>
          <w:tcPr>
            <w:tcW w:w="2250" w:type="dxa"/>
            <w:vAlign w:val="center"/>
          </w:tcPr>
          <w:p w14:paraId="6B60DAE8" w14:textId="77777777" w:rsidR="00D877E2" w:rsidRDefault="00D877E2">
            <w:pPr>
              <w:spacing w:after="0" w:line="240" w:lineRule="auto"/>
              <w:jc w:val="center"/>
              <w:rPr>
                <w:rFonts w:ascii="Arial" w:eastAsia="Aptos" w:hAnsi="Arial" w:cs="Arial"/>
                <w:sz w:val="22"/>
                <w:szCs w:val="22"/>
              </w:rPr>
            </w:pPr>
          </w:p>
        </w:tc>
        <w:tc>
          <w:tcPr>
            <w:tcW w:w="1348" w:type="dxa"/>
            <w:vAlign w:val="center"/>
          </w:tcPr>
          <w:p w14:paraId="7DBADBBB" w14:textId="77777777" w:rsidR="00D877E2" w:rsidRDefault="00000000">
            <w:pPr>
              <w:spacing w:after="0" w:line="240" w:lineRule="auto"/>
              <w:jc w:val="center"/>
              <w:rPr>
                <w:rFonts w:ascii="Arial" w:eastAsia="Aptos" w:hAnsi="Arial" w:cs="Arial"/>
                <w:sz w:val="22"/>
                <w:szCs w:val="22"/>
              </w:rPr>
            </w:pPr>
            <w:r>
              <w:rPr>
                <w:rFonts w:ascii="Arial" w:eastAsia="Aptos" w:hAnsi="Arial" w:cs="Arial"/>
                <w:sz w:val="22"/>
                <w:szCs w:val="22"/>
              </w:rPr>
              <w:t>22842.02</w:t>
            </w:r>
          </w:p>
        </w:tc>
        <w:tc>
          <w:tcPr>
            <w:tcW w:w="1981" w:type="dxa"/>
            <w:vAlign w:val="center"/>
          </w:tcPr>
          <w:p w14:paraId="048C930B" w14:textId="77777777" w:rsidR="00D877E2" w:rsidRDefault="00D877E2">
            <w:pPr>
              <w:spacing w:after="0" w:line="240" w:lineRule="auto"/>
              <w:jc w:val="center"/>
              <w:rPr>
                <w:rFonts w:ascii="Arial" w:eastAsia="Aptos" w:hAnsi="Arial" w:cs="Arial"/>
                <w:sz w:val="22"/>
                <w:szCs w:val="22"/>
              </w:rPr>
            </w:pPr>
          </w:p>
        </w:tc>
        <w:tc>
          <w:tcPr>
            <w:tcW w:w="1351" w:type="dxa"/>
            <w:vAlign w:val="center"/>
          </w:tcPr>
          <w:p w14:paraId="1FF1B516" w14:textId="77777777" w:rsidR="00D877E2" w:rsidRDefault="00000000">
            <w:pPr>
              <w:spacing w:after="0" w:line="240" w:lineRule="auto"/>
              <w:jc w:val="center"/>
              <w:rPr>
                <w:rFonts w:ascii="Arial" w:eastAsia="Aptos" w:hAnsi="Arial" w:cs="Arial"/>
                <w:sz w:val="22"/>
                <w:szCs w:val="22"/>
              </w:rPr>
            </w:pPr>
            <w:r>
              <w:rPr>
                <w:rFonts w:ascii="Arial" w:eastAsia="Aptos" w:hAnsi="Arial" w:cs="Arial"/>
                <w:sz w:val="22"/>
                <w:szCs w:val="22"/>
              </w:rPr>
              <w:t>22842.02</w:t>
            </w:r>
          </w:p>
        </w:tc>
      </w:tr>
      <w:tr w:rsidR="00D877E2" w14:paraId="17E2BF80" w14:textId="77777777">
        <w:trPr>
          <w:trHeight w:val="250"/>
          <w:jc w:val="center"/>
        </w:trPr>
        <w:tc>
          <w:tcPr>
            <w:tcW w:w="2158" w:type="dxa"/>
          </w:tcPr>
          <w:p w14:paraId="6336217F" w14:textId="77777777" w:rsidR="00D877E2" w:rsidRDefault="00000000">
            <w:pPr>
              <w:spacing w:after="0" w:line="240" w:lineRule="auto"/>
              <w:rPr>
                <w:rFonts w:ascii="Arial" w:eastAsia="Aptos" w:hAnsi="Arial" w:cs="Arial"/>
                <w:b/>
                <w:sz w:val="22"/>
                <w:szCs w:val="22"/>
              </w:rPr>
            </w:pPr>
            <w:proofErr w:type="gramStart"/>
            <w:r>
              <w:rPr>
                <w:rFonts w:ascii="Arial" w:eastAsia="Aptos" w:hAnsi="Arial" w:cs="Arial"/>
                <w:b/>
                <w:sz w:val="22"/>
                <w:szCs w:val="22"/>
              </w:rPr>
              <w:t>Total</w:t>
            </w:r>
            <w:proofErr w:type="gramEnd"/>
            <w:r>
              <w:rPr>
                <w:rFonts w:ascii="Arial" w:eastAsia="Aptos" w:hAnsi="Arial" w:cs="Arial"/>
                <w:b/>
                <w:sz w:val="22"/>
                <w:szCs w:val="22"/>
              </w:rPr>
              <w:t xml:space="preserve"> general</w:t>
            </w:r>
          </w:p>
        </w:tc>
        <w:tc>
          <w:tcPr>
            <w:tcW w:w="632" w:type="dxa"/>
            <w:vAlign w:val="center"/>
          </w:tcPr>
          <w:p w14:paraId="2EAFE725" w14:textId="77777777" w:rsidR="00D877E2" w:rsidRDefault="00D877E2">
            <w:pPr>
              <w:spacing w:after="0" w:line="240" w:lineRule="auto"/>
              <w:jc w:val="center"/>
              <w:rPr>
                <w:rFonts w:ascii="Arial" w:eastAsia="Aptos" w:hAnsi="Arial" w:cs="Arial"/>
                <w:sz w:val="22"/>
                <w:szCs w:val="22"/>
              </w:rPr>
            </w:pPr>
          </w:p>
        </w:tc>
        <w:tc>
          <w:tcPr>
            <w:tcW w:w="1260" w:type="dxa"/>
            <w:vAlign w:val="center"/>
          </w:tcPr>
          <w:p w14:paraId="2D434066" w14:textId="77777777" w:rsidR="00D877E2" w:rsidRDefault="00D877E2">
            <w:pPr>
              <w:spacing w:after="0" w:line="240" w:lineRule="auto"/>
              <w:jc w:val="center"/>
              <w:rPr>
                <w:rFonts w:ascii="Arial" w:eastAsia="Aptos" w:hAnsi="Arial" w:cs="Arial"/>
                <w:sz w:val="22"/>
                <w:szCs w:val="22"/>
              </w:rPr>
            </w:pPr>
          </w:p>
        </w:tc>
        <w:tc>
          <w:tcPr>
            <w:tcW w:w="2250" w:type="dxa"/>
            <w:vAlign w:val="center"/>
          </w:tcPr>
          <w:p w14:paraId="080A4740" w14:textId="77777777" w:rsidR="00D877E2" w:rsidRDefault="00D877E2">
            <w:pPr>
              <w:spacing w:after="0" w:line="240" w:lineRule="auto"/>
              <w:jc w:val="center"/>
              <w:rPr>
                <w:rFonts w:ascii="Arial" w:eastAsia="Aptos" w:hAnsi="Arial" w:cs="Arial"/>
                <w:sz w:val="22"/>
                <w:szCs w:val="22"/>
              </w:rPr>
            </w:pPr>
          </w:p>
        </w:tc>
        <w:tc>
          <w:tcPr>
            <w:tcW w:w="1348" w:type="dxa"/>
            <w:vAlign w:val="center"/>
          </w:tcPr>
          <w:p w14:paraId="0D5C0C97" w14:textId="77777777" w:rsidR="00D877E2" w:rsidRDefault="00000000">
            <w:pPr>
              <w:spacing w:after="0" w:line="240" w:lineRule="auto"/>
              <w:jc w:val="center"/>
              <w:rPr>
                <w:rFonts w:ascii="Arial" w:eastAsia="Aptos" w:hAnsi="Arial" w:cs="Arial"/>
                <w:sz w:val="22"/>
                <w:szCs w:val="22"/>
              </w:rPr>
            </w:pPr>
            <w:r>
              <w:rPr>
                <w:rFonts w:ascii="Arial" w:eastAsia="Aptos" w:hAnsi="Arial" w:cs="Arial"/>
                <w:sz w:val="22"/>
                <w:szCs w:val="22"/>
              </w:rPr>
              <w:t>89932,80</w:t>
            </w:r>
          </w:p>
        </w:tc>
        <w:tc>
          <w:tcPr>
            <w:tcW w:w="1981" w:type="dxa"/>
            <w:vAlign w:val="center"/>
          </w:tcPr>
          <w:p w14:paraId="1F5BA206" w14:textId="77777777" w:rsidR="00D877E2" w:rsidRDefault="00D877E2">
            <w:pPr>
              <w:spacing w:after="0" w:line="240" w:lineRule="auto"/>
              <w:jc w:val="center"/>
              <w:rPr>
                <w:rFonts w:ascii="Arial" w:eastAsia="Aptos" w:hAnsi="Arial" w:cs="Arial"/>
                <w:sz w:val="22"/>
                <w:szCs w:val="22"/>
              </w:rPr>
            </w:pPr>
          </w:p>
        </w:tc>
        <w:tc>
          <w:tcPr>
            <w:tcW w:w="1351" w:type="dxa"/>
            <w:vAlign w:val="center"/>
          </w:tcPr>
          <w:p w14:paraId="19637741" w14:textId="77777777" w:rsidR="00D877E2" w:rsidRDefault="00000000">
            <w:pPr>
              <w:spacing w:after="0" w:line="240" w:lineRule="auto"/>
              <w:jc w:val="center"/>
              <w:rPr>
                <w:rFonts w:ascii="Arial" w:eastAsia="Aptos" w:hAnsi="Arial" w:cs="Arial"/>
                <w:sz w:val="22"/>
                <w:szCs w:val="22"/>
              </w:rPr>
            </w:pPr>
            <w:r>
              <w:rPr>
                <w:rFonts w:ascii="Arial" w:eastAsia="Aptos" w:hAnsi="Arial" w:cs="Arial"/>
                <w:sz w:val="22"/>
                <w:szCs w:val="22"/>
              </w:rPr>
              <w:t>95687,02</w:t>
            </w:r>
          </w:p>
        </w:tc>
      </w:tr>
    </w:tbl>
    <w:p w14:paraId="70D93E87" w14:textId="31A83D5A" w:rsidR="00D877E2" w:rsidRDefault="00000000">
      <w:pPr>
        <w:spacing w:after="0" w:line="240" w:lineRule="auto"/>
        <w:jc w:val="both"/>
        <w:rPr>
          <w:rFonts w:ascii="Arial" w:hAnsi="Arial" w:cs="Arial"/>
          <w:bCs/>
          <w:lang w:val="es-CU"/>
        </w:rPr>
      </w:pPr>
      <w:r>
        <w:rPr>
          <w:rFonts w:ascii="Arial" w:hAnsi="Arial" w:cs="Arial"/>
          <w:bCs/>
          <w:lang w:val="es-ES"/>
        </w:rPr>
        <w:t>El consumo de agua para la máxima producción en las líneas analizadas, alcanza el valor de 524.29 m</w:t>
      </w:r>
      <w:r>
        <w:rPr>
          <w:rFonts w:ascii="Arial" w:hAnsi="Arial" w:cs="Arial"/>
          <w:bCs/>
          <w:vertAlign w:val="superscript"/>
          <w:lang w:val="es-ES"/>
        </w:rPr>
        <w:t>3</w:t>
      </w:r>
      <w:r>
        <w:rPr>
          <w:rFonts w:ascii="Arial" w:hAnsi="Arial" w:cs="Arial"/>
          <w:bCs/>
          <w:lang w:val="es-ES"/>
        </w:rPr>
        <w:t xml:space="preserve">/d, y </w:t>
      </w:r>
      <w:r>
        <w:rPr>
          <w:rFonts w:ascii="Arial" w:hAnsi="Arial" w:cs="Arial"/>
          <w:lang w:val="es-ES"/>
        </w:rPr>
        <w:t xml:space="preserve">las disminuciones de consumos generan un valor </w:t>
      </w:r>
      <w:r w:rsidR="00FC2DFA">
        <w:rPr>
          <w:rFonts w:ascii="Arial" w:hAnsi="Arial" w:cs="Arial"/>
          <w:lang w:val="es-ES"/>
        </w:rPr>
        <w:t>total de</w:t>
      </w:r>
      <w:r>
        <w:rPr>
          <w:rFonts w:ascii="Arial" w:hAnsi="Arial" w:cs="Arial"/>
          <w:lang w:val="es-ES"/>
        </w:rPr>
        <w:t xml:space="preserve"> </w:t>
      </w:r>
      <w:r>
        <w:rPr>
          <w:rFonts w:ascii="Arial" w:hAnsi="Arial" w:cs="Arial"/>
        </w:rPr>
        <w:t xml:space="preserve">139.46 </w:t>
      </w:r>
      <w:r>
        <w:rPr>
          <w:rFonts w:ascii="Arial" w:hAnsi="Arial" w:cs="Arial"/>
          <w:bCs/>
        </w:rPr>
        <w:t>m</w:t>
      </w:r>
      <w:r>
        <w:rPr>
          <w:rFonts w:ascii="Arial" w:hAnsi="Arial" w:cs="Arial"/>
          <w:bCs/>
          <w:vertAlign w:val="superscript"/>
        </w:rPr>
        <w:t>3</w:t>
      </w:r>
      <w:r>
        <w:rPr>
          <w:rFonts w:ascii="Arial" w:hAnsi="Arial" w:cs="Arial"/>
          <w:bCs/>
        </w:rPr>
        <w:t>/d</w:t>
      </w:r>
      <w:r>
        <w:rPr>
          <w:rFonts w:ascii="Arial" w:hAnsi="Arial" w:cs="Arial"/>
          <w:lang w:val="es-ES"/>
        </w:rPr>
        <w:t>.</w:t>
      </w:r>
    </w:p>
    <w:p w14:paraId="5940C79D" w14:textId="77777777" w:rsidR="00D877E2" w:rsidRDefault="00000000">
      <w:pPr>
        <w:pStyle w:val="Prrafodelista"/>
        <w:spacing w:line="240" w:lineRule="auto"/>
        <w:ind w:left="0"/>
        <w:jc w:val="both"/>
        <w:rPr>
          <w:rFonts w:ascii="Arial" w:hAnsi="Arial" w:cs="Arial"/>
          <w:bCs/>
          <w:lang w:val="es-ES"/>
        </w:rPr>
      </w:pPr>
      <w:r>
        <w:rPr>
          <w:rFonts w:ascii="Arial" w:hAnsi="Arial" w:cs="Arial"/>
          <w:lang w:val="es-ES"/>
        </w:rPr>
        <w:t xml:space="preserve">Se evalúa el comportamiento de los consumos, </w:t>
      </w:r>
      <w:r>
        <w:rPr>
          <w:rFonts w:ascii="Arial" w:hAnsi="Arial" w:cs="Arial"/>
          <w:bCs/>
          <w:lang w:val="es-ES"/>
        </w:rPr>
        <w:t xml:space="preserve">que se muestra en la Figura 3.  </w:t>
      </w:r>
    </w:p>
    <w:p w14:paraId="2536B491" w14:textId="77777777" w:rsidR="00D877E2" w:rsidRDefault="00D877E2">
      <w:pPr>
        <w:pStyle w:val="Prrafodelista"/>
        <w:spacing w:after="0" w:line="240" w:lineRule="auto"/>
        <w:ind w:left="0"/>
        <w:jc w:val="center"/>
        <w:rPr>
          <w:rFonts w:ascii="Arial" w:hAnsi="Arial" w:cs="Arial"/>
          <w:lang w:val="es-ES"/>
        </w:rPr>
      </w:pPr>
    </w:p>
    <w:p w14:paraId="3EB9F30C" w14:textId="77777777" w:rsidR="00D877E2" w:rsidRDefault="00000000">
      <w:pPr>
        <w:spacing w:after="0" w:line="240" w:lineRule="auto"/>
        <w:jc w:val="center"/>
        <w:rPr>
          <w:rFonts w:ascii="Arial" w:hAnsi="Arial" w:cs="Arial"/>
          <w:bCs/>
          <w:lang w:val="es-CU"/>
        </w:rPr>
      </w:pPr>
      <w:r>
        <w:rPr>
          <w:noProof/>
        </w:rPr>
        <w:drawing>
          <wp:inline distT="0" distB="0" distL="0" distR="0" wp14:anchorId="38F5C685" wp14:editId="47CD9CC1">
            <wp:extent cx="6072505" cy="1806575"/>
            <wp:effectExtent l="0" t="0" r="0" b="0"/>
            <wp:docPr id="3"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EADDB10" w14:textId="77777777" w:rsidR="00D877E2" w:rsidRDefault="00000000">
      <w:pPr>
        <w:pStyle w:val="Prrafodelista"/>
        <w:spacing w:after="0" w:line="240" w:lineRule="auto"/>
        <w:ind w:left="0"/>
        <w:jc w:val="center"/>
        <w:rPr>
          <w:rFonts w:ascii="Arial" w:hAnsi="Arial"/>
        </w:rPr>
      </w:pPr>
      <w:r>
        <w:rPr>
          <w:rFonts w:ascii="Arial" w:hAnsi="Arial"/>
          <w:lang w:val="es-ES"/>
        </w:rPr>
        <w:t>Figura 3. Consumos en el día.</w:t>
      </w:r>
    </w:p>
    <w:p w14:paraId="6EB9EE7E" w14:textId="77777777" w:rsidR="00D877E2" w:rsidRDefault="00D877E2">
      <w:pPr>
        <w:pStyle w:val="Prrafodelista"/>
        <w:spacing w:line="240" w:lineRule="auto"/>
        <w:ind w:left="0"/>
        <w:jc w:val="both"/>
        <w:rPr>
          <w:rFonts w:ascii="Arial" w:hAnsi="Arial" w:cs="Arial"/>
          <w:b/>
          <w:bCs/>
        </w:rPr>
      </w:pPr>
    </w:p>
    <w:p w14:paraId="6DFF5760" w14:textId="41213456" w:rsidR="00D877E2" w:rsidRDefault="00000000">
      <w:pPr>
        <w:pStyle w:val="Prrafodelista"/>
        <w:spacing w:line="240" w:lineRule="auto"/>
        <w:ind w:left="0"/>
        <w:jc w:val="both"/>
        <w:rPr>
          <w:rFonts w:ascii="Arial" w:hAnsi="Arial" w:cs="Arial"/>
          <w:b/>
          <w:bCs/>
        </w:rPr>
      </w:pPr>
      <w:r>
        <w:rPr>
          <w:rFonts w:ascii="Arial" w:hAnsi="Arial" w:cs="Arial"/>
        </w:rPr>
        <w:t xml:space="preserve">Un aspecto de importancia, para lograr la eficiencia del sistema de uso de agua en la instalación estudiada,  fue variar las temperaturas de enfriamiento, logrando que al incrementar el Delta T utilizado, se minimizara el consumo de agua para extraer las misma cantidad de calor, (Sosa et al, 2025) , sin embargo, esto conllevó a que en algunos equipos al disminuir, por su ahorro, el flujo de agua, también disminuyera  la velocidad </w:t>
      </w:r>
      <w:r>
        <w:rPr>
          <w:rFonts w:ascii="Arial" w:hAnsi="Arial" w:cs="Arial"/>
        </w:rPr>
        <w:lastRenderedPageBreak/>
        <w:t xml:space="preserve">del </w:t>
      </w:r>
      <w:r w:rsidR="00FC2DFA">
        <w:rPr>
          <w:rFonts w:ascii="Arial" w:hAnsi="Arial" w:cs="Arial"/>
        </w:rPr>
        <w:t>líquido</w:t>
      </w:r>
      <w:r>
        <w:rPr>
          <w:rFonts w:ascii="Arial" w:hAnsi="Arial" w:cs="Arial"/>
        </w:rPr>
        <w:t>, el número de Reynold y con ello el coeficiente de transferencia de calor, haciéndose el equipo instalado inoperante para esas nuevas condiciones de trabajo, por lo que fue necesario proceder a determinar la temperatura óptima de enfriamiento para minimizar el consumo de agua, pues en las condiciones actuales del país,  no es viable recomendar nuevas inversiones cuando se pueden lograr pasos de avance intensificando las  instalaciones disponibles , lo que reafirma el concepto de emplear la optimización en la gestión del conocimient</w:t>
      </w:r>
      <w:r>
        <w:rPr>
          <w:rFonts w:ascii="Arial" w:hAnsi="Arial" w:cs="Arial"/>
          <w:b/>
          <w:bCs/>
        </w:rPr>
        <w:t>o (</w:t>
      </w:r>
      <w:r>
        <w:rPr>
          <w:rFonts w:ascii="Arial" w:hAnsi="Arial" w:cs="Arial"/>
        </w:rPr>
        <w:t xml:space="preserve">González et al;2022) y  que demostró que se podían lograr ahorros significativos de agua  y recuperación de calor con un mínimo inversionista perfectamente recuperable acorde con los indicadores dinámicos de la </w:t>
      </w:r>
      <w:r w:rsidR="00FC2DFA">
        <w:rPr>
          <w:rFonts w:ascii="Arial" w:hAnsi="Arial" w:cs="Arial"/>
        </w:rPr>
        <w:t>inversión</w:t>
      </w:r>
      <w:r>
        <w:rPr>
          <w:rFonts w:ascii="Arial" w:hAnsi="Arial" w:cs="Arial"/>
        </w:rPr>
        <w:t>.</w:t>
      </w:r>
    </w:p>
    <w:p w14:paraId="77C7E499" w14:textId="77777777" w:rsidR="00D877E2" w:rsidRDefault="00000000">
      <w:pPr>
        <w:pStyle w:val="Prrafodelista"/>
        <w:spacing w:line="240" w:lineRule="auto"/>
        <w:ind w:left="0"/>
        <w:jc w:val="both"/>
        <w:rPr>
          <w:rFonts w:ascii="Arial" w:hAnsi="Arial" w:cs="Arial"/>
          <w:b/>
          <w:bCs/>
        </w:rPr>
      </w:pPr>
      <w:bookmarkStart w:id="6" w:name="_Hlk231400911"/>
      <w:r>
        <w:rPr>
          <w:rFonts w:ascii="Arial" w:hAnsi="Arial" w:cs="Arial"/>
          <w:b/>
          <w:bCs/>
        </w:rPr>
        <w:t>Bombeo del condensado</w:t>
      </w:r>
      <w:bookmarkEnd w:id="6"/>
      <w:r>
        <w:rPr>
          <w:rFonts w:ascii="Arial" w:hAnsi="Arial" w:cs="Arial"/>
          <w:b/>
          <w:bCs/>
        </w:rPr>
        <w:t xml:space="preserve">. </w:t>
      </w:r>
    </w:p>
    <w:p w14:paraId="4A99C2FC" w14:textId="77777777" w:rsidR="00D877E2" w:rsidRDefault="00000000">
      <w:pPr>
        <w:pStyle w:val="Prrafodelista"/>
        <w:spacing w:line="240" w:lineRule="auto"/>
        <w:ind w:left="0"/>
        <w:jc w:val="both"/>
        <w:rPr>
          <w:rFonts w:ascii="Arial" w:hAnsi="Arial" w:cs="Arial"/>
        </w:rPr>
      </w:pPr>
      <w:r>
        <w:rPr>
          <w:rFonts w:ascii="Arial" w:hAnsi="Arial" w:cs="Arial"/>
        </w:rPr>
        <w:t xml:space="preserve">El sistema de bombeo requiere las cargas y caudales mostrados. </w:t>
      </w:r>
    </w:p>
    <w:p w14:paraId="07DA0BB3" w14:textId="77777777" w:rsidR="00D877E2" w:rsidRDefault="00000000">
      <w:pPr>
        <w:pStyle w:val="Prrafodelista"/>
        <w:spacing w:line="240" w:lineRule="auto"/>
        <w:ind w:left="0"/>
        <w:jc w:val="center"/>
        <w:rPr>
          <w:rFonts w:ascii="Arial" w:hAnsi="Arial" w:cs="Arial"/>
        </w:rPr>
      </w:pPr>
      <w:r>
        <w:rPr>
          <w:rFonts w:ascii="Arial" w:hAnsi="Arial" w:cs="Arial"/>
          <w:b/>
          <w:bCs/>
        </w:rPr>
        <w:t>Tabla 2.</w:t>
      </w:r>
      <w:r>
        <w:rPr>
          <w:rFonts w:ascii="Arial" w:hAnsi="Arial" w:cs="Arial"/>
        </w:rPr>
        <w:t xml:space="preserve"> Características de bombeo.</w:t>
      </w:r>
    </w:p>
    <w:tbl>
      <w:tblPr>
        <w:tblStyle w:val="Tablaconcuadrcula"/>
        <w:tblW w:w="5877" w:type="dxa"/>
        <w:jc w:val="center"/>
        <w:tblLayout w:type="fixed"/>
        <w:tblLook w:val="04A0" w:firstRow="1" w:lastRow="0" w:firstColumn="1" w:lastColumn="0" w:noHBand="0" w:noVBand="1"/>
      </w:tblPr>
      <w:tblGrid>
        <w:gridCol w:w="4045"/>
        <w:gridCol w:w="912"/>
        <w:gridCol w:w="920"/>
      </w:tblGrid>
      <w:tr w:rsidR="00D877E2" w14:paraId="24A6FDF6" w14:textId="77777777">
        <w:trPr>
          <w:jc w:val="center"/>
        </w:trPr>
        <w:tc>
          <w:tcPr>
            <w:tcW w:w="4045" w:type="dxa"/>
          </w:tcPr>
          <w:p w14:paraId="52FF96D0" w14:textId="77777777" w:rsidR="00D877E2" w:rsidRDefault="00000000">
            <w:pPr>
              <w:pStyle w:val="Prrafodelista"/>
              <w:spacing w:after="0" w:line="240" w:lineRule="auto"/>
              <w:ind w:left="0"/>
              <w:jc w:val="both"/>
              <w:rPr>
                <w:rFonts w:ascii="Arial" w:hAnsi="Arial" w:cs="Arial"/>
                <w:b/>
                <w:bCs/>
                <w:sz w:val="22"/>
                <w:szCs w:val="22"/>
              </w:rPr>
            </w:pPr>
            <w:r>
              <w:rPr>
                <w:rFonts w:ascii="Arial" w:eastAsia="Aptos" w:hAnsi="Arial" w:cs="Arial"/>
                <w:b/>
                <w:bCs/>
                <w:sz w:val="22"/>
                <w:szCs w:val="22"/>
              </w:rPr>
              <w:t>Tramos de bombeo</w:t>
            </w:r>
          </w:p>
        </w:tc>
        <w:tc>
          <w:tcPr>
            <w:tcW w:w="912" w:type="dxa"/>
          </w:tcPr>
          <w:p w14:paraId="324979A9" w14:textId="77777777" w:rsidR="00D877E2" w:rsidRDefault="00000000">
            <w:pPr>
              <w:pStyle w:val="Prrafodelista"/>
              <w:spacing w:after="0" w:line="240" w:lineRule="auto"/>
              <w:ind w:left="0"/>
              <w:jc w:val="both"/>
              <w:rPr>
                <w:rFonts w:ascii="Arial" w:hAnsi="Arial" w:cs="Arial"/>
                <w:b/>
                <w:bCs/>
                <w:sz w:val="22"/>
                <w:szCs w:val="22"/>
              </w:rPr>
            </w:pPr>
            <w:r>
              <w:rPr>
                <w:rFonts w:ascii="Arial" w:eastAsia="Aptos" w:hAnsi="Arial" w:cs="Arial"/>
                <w:b/>
                <w:bCs/>
                <w:sz w:val="22"/>
                <w:szCs w:val="22"/>
              </w:rPr>
              <w:t>H</w:t>
            </w:r>
            <w:r>
              <w:rPr>
                <w:rFonts w:ascii="Arial" w:eastAsia="Aptos" w:hAnsi="Arial" w:cs="Arial"/>
                <w:b/>
                <w:bCs/>
                <w:sz w:val="22"/>
                <w:szCs w:val="22"/>
                <w:vertAlign w:val="subscript"/>
              </w:rPr>
              <w:t>b</w:t>
            </w:r>
            <w:r>
              <w:rPr>
                <w:rFonts w:ascii="Arial" w:eastAsia="Aptos" w:hAnsi="Arial" w:cs="Arial"/>
                <w:b/>
                <w:bCs/>
                <w:sz w:val="22"/>
                <w:szCs w:val="22"/>
              </w:rPr>
              <w:t xml:space="preserve"> (m)</w:t>
            </w:r>
          </w:p>
        </w:tc>
        <w:tc>
          <w:tcPr>
            <w:tcW w:w="920" w:type="dxa"/>
          </w:tcPr>
          <w:p w14:paraId="47CD28E7" w14:textId="77777777" w:rsidR="00D877E2" w:rsidRDefault="00000000">
            <w:pPr>
              <w:pStyle w:val="Prrafodelista"/>
              <w:spacing w:after="0" w:line="240" w:lineRule="auto"/>
              <w:ind w:left="0"/>
              <w:jc w:val="both"/>
              <w:rPr>
                <w:rFonts w:ascii="Arial" w:hAnsi="Arial" w:cs="Arial"/>
                <w:b/>
                <w:bCs/>
                <w:sz w:val="22"/>
                <w:szCs w:val="22"/>
              </w:rPr>
            </w:pPr>
            <w:proofErr w:type="spellStart"/>
            <w:r>
              <w:rPr>
                <w:rFonts w:ascii="Arial" w:eastAsia="Aptos" w:hAnsi="Arial" w:cs="Arial"/>
                <w:b/>
                <w:bCs/>
                <w:sz w:val="22"/>
                <w:szCs w:val="22"/>
              </w:rPr>
              <w:t>Q</w:t>
            </w:r>
            <w:r>
              <w:rPr>
                <w:rFonts w:ascii="Arial" w:eastAsia="Aptos" w:hAnsi="Arial" w:cs="Arial"/>
                <w:b/>
                <w:bCs/>
                <w:sz w:val="22"/>
                <w:szCs w:val="22"/>
                <w:vertAlign w:val="subscript"/>
              </w:rPr>
              <w:t>b</w:t>
            </w:r>
            <w:proofErr w:type="spellEnd"/>
            <w:r>
              <w:rPr>
                <w:rFonts w:ascii="Arial" w:eastAsia="Aptos" w:hAnsi="Arial" w:cs="Arial"/>
                <w:b/>
                <w:bCs/>
                <w:sz w:val="22"/>
                <w:szCs w:val="22"/>
                <w:vertAlign w:val="subscript"/>
              </w:rPr>
              <w:t xml:space="preserve"> </w:t>
            </w:r>
            <w:r>
              <w:rPr>
                <w:rFonts w:ascii="Arial" w:eastAsia="Aptos" w:hAnsi="Arial" w:cs="Arial"/>
                <w:b/>
                <w:bCs/>
                <w:sz w:val="22"/>
                <w:szCs w:val="22"/>
              </w:rPr>
              <w:t>(l/s)</w:t>
            </w:r>
          </w:p>
        </w:tc>
      </w:tr>
      <w:tr w:rsidR="00D877E2" w14:paraId="27BDF93A" w14:textId="77777777">
        <w:trPr>
          <w:jc w:val="center"/>
        </w:trPr>
        <w:tc>
          <w:tcPr>
            <w:tcW w:w="4045" w:type="dxa"/>
          </w:tcPr>
          <w:p w14:paraId="35698A41" w14:textId="77777777" w:rsidR="00D877E2" w:rsidRDefault="00000000">
            <w:pPr>
              <w:pStyle w:val="Prrafodelista"/>
              <w:spacing w:after="0" w:line="240" w:lineRule="auto"/>
              <w:ind w:left="0"/>
              <w:jc w:val="both"/>
              <w:rPr>
                <w:rFonts w:ascii="Arial" w:hAnsi="Arial" w:cs="Arial"/>
                <w:sz w:val="22"/>
                <w:szCs w:val="22"/>
              </w:rPr>
            </w:pPr>
            <w:r>
              <w:rPr>
                <w:rFonts w:ascii="Arial" w:eastAsia="Aptos" w:hAnsi="Arial" w:cs="Arial"/>
                <w:sz w:val="22"/>
                <w:szCs w:val="22"/>
              </w:rPr>
              <w:t>Tramo 1</w:t>
            </w:r>
          </w:p>
        </w:tc>
        <w:tc>
          <w:tcPr>
            <w:tcW w:w="912" w:type="dxa"/>
          </w:tcPr>
          <w:p w14:paraId="2CE9A8D2" w14:textId="77777777" w:rsidR="00D877E2" w:rsidRDefault="00000000">
            <w:pPr>
              <w:pStyle w:val="Prrafodelista"/>
              <w:spacing w:after="0" w:line="240" w:lineRule="auto"/>
              <w:ind w:left="0"/>
              <w:jc w:val="both"/>
              <w:rPr>
                <w:rFonts w:ascii="Arial" w:hAnsi="Arial" w:cs="Arial"/>
                <w:sz w:val="22"/>
                <w:szCs w:val="22"/>
              </w:rPr>
            </w:pPr>
            <w:r>
              <w:rPr>
                <w:rFonts w:ascii="Arial" w:eastAsia="Aptos" w:hAnsi="Arial" w:cs="Arial"/>
                <w:sz w:val="22"/>
                <w:szCs w:val="22"/>
              </w:rPr>
              <w:t>6.5</w:t>
            </w:r>
          </w:p>
        </w:tc>
        <w:tc>
          <w:tcPr>
            <w:tcW w:w="920" w:type="dxa"/>
          </w:tcPr>
          <w:p w14:paraId="1AFE4587" w14:textId="77777777" w:rsidR="00D877E2" w:rsidRDefault="00000000">
            <w:pPr>
              <w:pStyle w:val="Prrafodelista"/>
              <w:spacing w:after="0" w:line="240" w:lineRule="auto"/>
              <w:ind w:left="0"/>
              <w:jc w:val="both"/>
              <w:rPr>
                <w:rFonts w:ascii="Arial" w:hAnsi="Arial" w:cs="Arial"/>
                <w:sz w:val="22"/>
                <w:szCs w:val="22"/>
              </w:rPr>
            </w:pPr>
            <w:r>
              <w:rPr>
                <w:rFonts w:ascii="Arial" w:eastAsia="Aptos" w:hAnsi="Arial" w:cs="Arial"/>
                <w:sz w:val="22"/>
                <w:szCs w:val="22"/>
              </w:rPr>
              <w:t>0.39</w:t>
            </w:r>
          </w:p>
        </w:tc>
      </w:tr>
      <w:tr w:rsidR="00D877E2" w14:paraId="0299C24A" w14:textId="77777777">
        <w:trPr>
          <w:jc w:val="center"/>
        </w:trPr>
        <w:tc>
          <w:tcPr>
            <w:tcW w:w="4045" w:type="dxa"/>
          </w:tcPr>
          <w:p w14:paraId="3E0EEDDA" w14:textId="77777777" w:rsidR="00D877E2" w:rsidRDefault="00000000">
            <w:pPr>
              <w:pStyle w:val="Prrafodelista"/>
              <w:spacing w:after="0" w:line="240" w:lineRule="auto"/>
              <w:ind w:left="0"/>
              <w:jc w:val="both"/>
              <w:rPr>
                <w:rFonts w:ascii="Arial" w:hAnsi="Arial" w:cs="Arial"/>
                <w:sz w:val="22"/>
                <w:szCs w:val="22"/>
              </w:rPr>
            </w:pPr>
            <w:r>
              <w:rPr>
                <w:rFonts w:ascii="Arial" w:eastAsia="Aptos" w:hAnsi="Arial" w:cs="Arial"/>
                <w:sz w:val="22"/>
                <w:szCs w:val="22"/>
              </w:rPr>
              <w:t>Tramo 2</w:t>
            </w:r>
          </w:p>
        </w:tc>
        <w:tc>
          <w:tcPr>
            <w:tcW w:w="912" w:type="dxa"/>
          </w:tcPr>
          <w:p w14:paraId="5DC79E7B" w14:textId="77777777" w:rsidR="00D877E2" w:rsidRDefault="00000000">
            <w:pPr>
              <w:pStyle w:val="Prrafodelista"/>
              <w:spacing w:after="0" w:line="240" w:lineRule="auto"/>
              <w:ind w:left="0"/>
              <w:jc w:val="both"/>
              <w:rPr>
                <w:rFonts w:ascii="Arial" w:hAnsi="Arial" w:cs="Arial"/>
                <w:sz w:val="22"/>
                <w:szCs w:val="22"/>
              </w:rPr>
            </w:pPr>
            <w:r>
              <w:rPr>
                <w:rFonts w:ascii="Arial" w:eastAsia="Aptos" w:hAnsi="Arial" w:cs="Arial"/>
                <w:sz w:val="22"/>
                <w:szCs w:val="22"/>
              </w:rPr>
              <w:t>5.5</w:t>
            </w:r>
          </w:p>
        </w:tc>
        <w:tc>
          <w:tcPr>
            <w:tcW w:w="920" w:type="dxa"/>
          </w:tcPr>
          <w:p w14:paraId="4E17D02A" w14:textId="77777777" w:rsidR="00D877E2" w:rsidRDefault="00000000">
            <w:pPr>
              <w:pStyle w:val="Prrafodelista"/>
              <w:spacing w:after="0" w:line="240" w:lineRule="auto"/>
              <w:ind w:left="0"/>
              <w:jc w:val="both"/>
              <w:rPr>
                <w:rFonts w:ascii="Arial" w:hAnsi="Arial" w:cs="Arial"/>
                <w:sz w:val="22"/>
                <w:szCs w:val="22"/>
              </w:rPr>
            </w:pPr>
            <w:r>
              <w:rPr>
                <w:rFonts w:ascii="Arial" w:eastAsia="Aptos" w:hAnsi="Arial" w:cs="Arial"/>
                <w:sz w:val="22"/>
                <w:szCs w:val="22"/>
              </w:rPr>
              <w:t>0.27</w:t>
            </w:r>
          </w:p>
        </w:tc>
      </w:tr>
    </w:tbl>
    <w:p w14:paraId="5FBF3AFE" w14:textId="77777777" w:rsidR="00D877E2" w:rsidRDefault="00000000">
      <w:pPr>
        <w:pStyle w:val="Prrafodelista"/>
        <w:spacing w:after="0" w:line="240" w:lineRule="auto"/>
        <w:ind w:left="0"/>
        <w:jc w:val="both"/>
        <w:rPr>
          <w:rFonts w:ascii="Arial" w:hAnsi="Arial" w:cs="Arial"/>
        </w:rPr>
      </w:pPr>
      <w:r>
        <w:rPr>
          <w:rFonts w:ascii="Arial" w:hAnsi="Arial" w:cs="Arial"/>
        </w:rPr>
        <w:t>Teniendo en cuenta las características descritas anteriormente, se proponen cuatro bombas mecánicas compactas con trampa de vapor modelo GT10L.</w:t>
      </w:r>
    </w:p>
    <w:p w14:paraId="4646FF43" w14:textId="77777777" w:rsidR="00D877E2" w:rsidRDefault="00000000">
      <w:pPr>
        <w:spacing w:after="0" w:line="240" w:lineRule="auto"/>
        <w:jc w:val="both"/>
        <w:rPr>
          <w:rFonts w:ascii="Arial" w:hAnsi="Arial" w:cs="Arial"/>
          <w:lang w:val="es-CU"/>
        </w:rPr>
      </w:pPr>
      <w:r>
        <w:rPr>
          <w:rFonts w:ascii="Arial" w:hAnsi="Arial" w:cs="Arial"/>
          <w:lang w:val="es-CU"/>
        </w:rPr>
        <w:t>El ahorro que se puede adquirir, lo cual se muestra en la Figura 4.</w:t>
      </w:r>
    </w:p>
    <w:p w14:paraId="2CBB87C8" w14:textId="77777777" w:rsidR="00D877E2" w:rsidRDefault="00D877E2">
      <w:pPr>
        <w:spacing w:after="0" w:line="240" w:lineRule="auto"/>
        <w:jc w:val="both"/>
        <w:rPr>
          <w:rFonts w:ascii="Arial" w:hAnsi="Arial" w:cs="Arial"/>
          <w:lang w:val="es-CU"/>
        </w:rPr>
      </w:pPr>
    </w:p>
    <w:p w14:paraId="3154C059" w14:textId="77777777" w:rsidR="00D877E2" w:rsidRDefault="00000000">
      <w:pPr>
        <w:spacing w:after="0" w:line="240" w:lineRule="auto"/>
        <w:jc w:val="center"/>
        <w:rPr>
          <w:rFonts w:ascii="Arial" w:hAnsi="Arial" w:cs="Arial"/>
        </w:rPr>
      </w:pPr>
      <w:r>
        <w:rPr>
          <w:noProof/>
        </w:rPr>
        <w:drawing>
          <wp:inline distT="0" distB="0" distL="0" distR="0" wp14:anchorId="36037A0C" wp14:editId="3E6DE158">
            <wp:extent cx="4363085" cy="2336165"/>
            <wp:effectExtent l="0" t="0" r="0" b="0"/>
            <wp:docPr id="4" name="Objeto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B63F51E" w14:textId="77777777" w:rsidR="00D877E2" w:rsidRDefault="00000000">
      <w:pPr>
        <w:spacing w:after="0" w:line="240" w:lineRule="auto"/>
        <w:jc w:val="center"/>
        <w:rPr>
          <w:rFonts w:ascii="Arial" w:hAnsi="Arial"/>
        </w:rPr>
      </w:pPr>
      <w:r>
        <w:rPr>
          <w:rFonts w:ascii="Arial" w:hAnsi="Arial"/>
          <w:lang w:val="es-CU"/>
        </w:rPr>
        <w:t>Figura 4. Ahorros producidos.</w:t>
      </w:r>
    </w:p>
    <w:p w14:paraId="64BF511E" w14:textId="77777777" w:rsidR="00D877E2" w:rsidRDefault="00D877E2">
      <w:pPr>
        <w:spacing w:after="0" w:line="240" w:lineRule="auto"/>
        <w:jc w:val="both"/>
        <w:rPr>
          <w:rFonts w:ascii="Arial" w:hAnsi="Arial" w:cs="Arial"/>
          <w:lang w:val="es-ES"/>
        </w:rPr>
      </w:pPr>
    </w:p>
    <w:p w14:paraId="1A97E835" w14:textId="77777777" w:rsidR="00D877E2" w:rsidRDefault="00000000">
      <w:pPr>
        <w:spacing w:after="0" w:line="240" w:lineRule="auto"/>
        <w:jc w:val="both"/>
        <w:rPr>
          <w:rFonts w:ascii="Arial" w:hAnsi="Arial" w:cs="Arial"/>
          <w:lang w:val="es-ES"/>
        </w:rPr>
      </w:pPr>
      <w:r>
        <w:rPr>
          <w:rFonts w:ascii="Arial" w:hAnsi="Arial" w:cs="Arial"/>
          <w:b/>
          <w:bCs/>
          <w:lang w:val="es-ES"/>
        </w:rPr>
        <w:t>Se puede lograr mayor eficiencia en el uso del agua en la empresa:</w:t>
      </w:r>
    </w:p>
    <w:p w14:paraId="50B3F9D7" w14:textId="77777777" w:rsidR="00D877E2" w:rsidRDefault="00000000">
      <w:pPr>
        <w:numPr>
          <w:ilvl w:val="0"/>
          <w:numId w:val="4"/>
        </w:numPr>
        <w:spacing w:after="0" w:line="240" w:lineRule="auto"/>
        <w:jc w:val="both"/>
        <w:rPr>
          <w:rFonts w:ascii="Arial" w:hAnsi="Arial" w:cs="Arial"/>
          <w:lang w:val="es-ES"/>
        </w:rPr>
      </w:pPr>
      <w:r>
        <w:rPr>
          <w:rFonts w:ascii="Arial" w:hAnsi="Arial" w:cs="Arial"/>
          <w:lang w:val="es-ES"/>
        </w:rPr>
        <w:t>Se emplea la Ciencia y la Técnica en el me anejo del uso del agua-</w:t>
      </w:r>
    </w:p>
    <w:p w14:paraId="23849CFA" w14:textId="37F8F3C9" w:rsidR="00D877E2" w:rsidRDefault="00000000">
      <w:pPr>
        <w:numPr>
          <w:ilvl w:val="0"/>
          <w:numId w:val="4"/>
        </w:numPr>
        <w:spacing w:after="0" w:line="240" w:lineRule="auto"/>
        <w:jc w:val="both"/>
      </w:pPr>
      <w:r>
        <w:rPr>
          <w:rFonts w:ascii="Arial" w:hAnsi="Arial" w:cs="Arial"/>
        </w:rPr>
        <w:t xml:space="preserve">Con el empleo de las bombas </w:t>
      </w:r>
      <w:r>
        <w:rPr>
          <w:rFonts w:ascii="Arial" w:hAnsi="Arial" w:cs="Arial"/>
          <w:lang w:val="es-ES"/>
        </w:rPr>
        <w:t>TLV, (2026</w:t>
      </w:r>
      <w:r w:rsidR="00FC2DFA">
        <w:rPr>
          <w:rFonts w:ascii="Arial" w:hAnsi="Arial" w:cs="Arial"/>
          <w:lang w:val="es-ES"/>
        </w:rPr>
        <w:t>) se</w:t>
      </w:r>
      <w:r>
        <w:rPr>
          <w:rFonts w:ascii="Arial" w:hAnsi="Arial" w:cs="Arial"/>
          <w:lang w:val="es-ES"/>
        </w:rPr>
        <w:t xml:space="preserve"> utiliza energía renovable mediante el vapor que se produce en el proceso tecnológico de la producción, de esta forma se obtiene un producto de forma más sostenible en la industria.</w:t>
      </w:r>
    </w:p>
    <w:p w14:paraId="3186DD91" w14:textId="77777777" w:rsidR="00D877E2" w:rsidRDefault="00000000">
      <w:pPr>
        <w:numPr>
          <w:ilvl w:val="0"/>
          <w:numId w:val="4"/>
        </w:numPr>
        <w:spacing w:after="0" w:line="240" w:lineRule="auto"/>
        <w:jc w:val="both"/>
      </w:pPr>
      <w:r>
        <w:rPr>
          <w:rFonts w:ascii="Arial" w:hAnsi="Arial" w:cs="Arial"/>
          <w:lang w:val="es-ES"/>
        </w:rPr>
        <w:t>La implementación de sistemas de recuperación de condensados enmarcada en los principios de economía circular, al reintegrar al proceso un residual que conserva propiedades térmicas valiosas, contribuyendo a la sostenibilidad de la industria.</w:t>
      </w:r>
      <w:bookmarkEnd w:id="4"/>
    </w:p>
    <w:p w14:paraId="1DEEC6BD" w14:textId="62EE09D2" w:rsidR="00D877E2" w:rsidRPr="00FC2DFA" w:rsidRDefault="00000000">
      <w:pPr>
        <w:numPr>
          <w:ilvl w:val="0"/>
          <w:numId w:val="4"/>
        </w:numPr>
        <w:spacing w:after="0" w:line="240" w:lineRule="auto"/>
        <w:jc w:val="both"/>
        <w:rPr>
          <w:rFonts w:ascii="Arial" w:hAnsi="Arial" w:cs="Arial"/>
        </w:rPr>
      </w:pPr>
      <w:r>
        <w:rPr>
          <w:rFonts w:ascii="Arial" w:hAnsi="Arial" w:cs="Arial"/>
          <w:lang w:val="es-ES"/>
        </w:rPr>
        <w:t xml:space="preserve">Se emplea la optimización de procesos en la intensificación de los mismo y antes de </w:t>
      </w:r>
      <w:r w:rsidR="00FC2DFA">
        <w:rPr>
          <w:rFonts w:ascii="Arial" w:hAnsi="Arial" w:cs="Arial"/>
          <w:lang w:val="es-ES"/>
        </w:rPr>
        <w:t>realizar inversiones</w:t>
      </w:r>
      <w:r>
        <w:rPr>
          <w:rFonts w:ascii="Arial" w:hAnsi="Arial" w:cs="Arial"/>
          <w:lang w:val="es-ES"/>
        </w:rPr>
        <w:t xml:space="preserve"> que hoy son restrictivas.</w:t>
      </w:r>
    </w:p>
    <w:p w14:paraId="30688D13" w14:textId="77777777" w:rsidR="00FC2DFA" w:rsidRDefault="00FC2DFA" w:rsidP="00FC2DFA">
      <w:pPr>
        <w:spacing w:after="0" w:line="240" w:lineRule="auto"/>
        <w:ind w:left="360"/>
        <w:jc w:val="both"/>
        <w:rPr>
          <w:rFonts w:ascii="Arial" w:hAnsi="Arial" w:cs="Arial"/>
        </w:rPr>
      </w:pPr>
    </w:p>
    <w:p w14:paraId="6C4B09F0" w14:textId="77777777" w:rsidR="00D877E2" w:rsidRDefault="00000000">
      <w:pPr>
        <w:pStyle w:val="Prrafodelista"/>
        <w:numPr>
          <w:ilvl w:val="0"/>
          <w:numId w:val="1"/>
        </w:numPr>
        <w:tabs>
          <w:tab w:val="left" w:pos="426"/>
        </w:tabs>
        <w:spacing w:after="0" w:line="240" w:lineRule="auto"/>
        <w:ind w:left="0" w:firstLine="0"/>
        <w:jc w:val="both"/>
        <w:rPr>
          <w:rFonts w:ascii="Arial" w:hAnsi="Arial" w:cs="Arial"/>
          <w:b/>
          <w:bCs/>
        </w:rPr>
      </w:pPr>
      <w:r>
        <w:rPr>
          <w:rFonts w:ascii="Arial" w:hAnsi="Arial" w:cs="Arial"/>
          <w:b/>
          <w:bCs/>
        </w:rPr>
        <w:lastRenderedPageBreak/>
        <w:t>Conclusiones.</w:t>
      </w:r>
    </w:p>
    <w:p w14:paraId="15C92EC1" w14:textId="77777777" w:rsidR="00D877E2" w:rsidRDefault="00000000">
      <w:pPr>
        <w:pStyle w:val="Prrafodelista"/>
        <w:numPr>
          <w:ilvl w:val="0"/>
          <w:numId w:val="2"/>
        </w:numPr>
        <w:spacing w:line="240" w:lineRule="auto"/>
        <w:jc w:val="both"/>
        <w:rPr>
          <w:rFonts w:ascii="Arial" w:hAnsi="Arial" w:cs="Arial"/>
        </w:rPr>
      </w:pPr>
      <w:r>
        <w:rPr>
          <w:rFonts w:ascii="Arial" w:hAnsi="Arial" w:cs="Arial"/>
          <w:lang w:val="es-ES"/>
        </w:rPr>
        <w:t xml:space="preserve">La disminución del consumo de agua potable alcanza el 18 % del consumo máximo en el día, lo cual contribuye a que la cisterna es suficiente para abastecer la demanda máxima de agua potable. </w:t>
      </w:r>
    </w:p>
    <w:p w14:paraId="6213719C" w14:textId="77777777" w:rsidR="00D877E2" w:rsidRDefault="00000000">
      <w:pPr>
        <w:pStyle w:val="Prrafodelista"/>
        <w:numPr>
          <w:ilvl w:val="0"/>
          <w:numId w:val="2"/>
        </w:numPr>
        <w:spacing w:line="240" w:lineRule="auto"/>
        <w:jc w:val="both"/>
        <w:rPr>
          <w:rFonts w:ascii="Arial" w:hAnsi="Arial" w:cs="Arial"/>
        </w:rPr>
      </w:pPr>
      <w:r>
        <w:rPr>
          <w:rFonts w:ascii="Arial" w:hAnsi="Arial" w:cs="Arial"/>
        </w:rPr>
        <w:t xml:space="preserve">Con el empleo del sistema de recuperación de condensados, como agua de alimentación para la caldera, se influye en el rendimiento y eficiencia. </w:t>
      </w:r>
    </w:p>
    <w:p w14:paraId="1EFA6329" w14:textId="77777777" w:rsidR="00D877E2" w:rsidRDefault="00000000">
      <w:pPr>
        <w:pStyle w:val="Prrafodelista"/>
        <w:numPr>
          <w:ilvl w:val="0"/>
          <w:numId w:val="2"/>
        </w:numPr>
        <w:spacing w:line="240" w:lineRule="auto"/>
        <w:jc w:val="both"/>
        <w:rPr>
          <w:rFonts w:ascii="Arial" w:hAnsi="Arial" w:cs="Arial"/>
        </w:rPr>
      </w:pPr>
      <w:r>
        <w:rPr>
          <w:rFonts w:ascii="Arial" w:hAnsi="Arial" w:cs="Arial"/>
        </w:rPr>
        <w:t>En el análisis de ahorros producidos que pueden alcanzar un valor de $ 28 921,72, anuales se identifica la línea de producción de la leche como mayor influencia en la disminución de consumos de agua y mayor ahorro de energía.</w:t>
      </w:r>
    </w:p>
    <w:p w14:paraId="06BAEE8B" w14:textId="77777777" w:rsidR="00D877E2" w:rsidRDefault="00000000">
      <w:pPr>
        <w:pStyle w:val="Prrafodelista"/>
        <w:numPr>
          <w:ilvl w:val="0"/>
          <w:numId w:val="2"/>
        </w:numPr>
        <w:spacing w:after="0" w:line="240" w:lineRule="auto"/>
        <w:jc w:val="both"/>
        <w:rPr>
          <w:rFonts w:ascii="Arial" w:hAnsi="Arial" w:cs="Arial"/>
          <w:b/>
          <w:bCs/>
        </w:rPr>
      </w:pPr>
      <w:r>
        <w:rPr>
          <w:rFonts w:ascii="Arial" w:hAnsi="Arial" w:cs="Arial"/>
        </w:rPr>
        <w:t>Se identifican los campos de acción de la economía circular y en lo que consisten, de manera que influyen en procesos de mejora de la gestión ambiental y el ahorro de agua y energía.</w:t>
      </w:r>
    </w:p>
    <w:p w14:paraId="4C5E0B62" w14:textId="77777777" w:rsidR="00D877E2" w:rsidRDefault="00000000">
      <w:pPr>
        <w:spacing w:after="0" w:line="240" w:lineRule="auto"/>
        <w:jc w:val="both"/>
        <w:rPr>
          <w:rFonts w:ascii="Arial" w:hAnsi="Arial" w:cs="Arial"/>
          <w:b/>
          <w:bCs/>
        </w:rPr>
      </w:pPr>
      <w:r>
        <w:rPr>
          <w:rFonts w:ascii="Arial" w:hAnsi="Arial" w:cs="Arial"/>
          <w:b/>
          <w:bCs/>
        </w:rPr>
        <w:t>Referencias Bibliográficas.</w:t>
      </w:r>
    </w:p>
    <w:p w14:paraId="4EE793FB" w14:textId="6B1FF533" w:rsidR="00D877E2" w:rsidRDefault="00000000">
      <w:pPr>
        <w:numPr>
          <w:ilvl w:val="0"/>
          <w:numId w:val="3"/>
        </w:numPr>
        <w:spacing w:after="0" w:line="240" w:lineRule="auto"/>
        <w:ind w:left="562" w:hanging="562"/>
        <w:jc w:val="both"/>
      </w:pPr>
      <w:r>
        <w:rPr>
          <w:rFonts w:ascii="Arial" w:hAnsi="Arial" w:cs="Arial"/>
          <w:lang w:val="es-ES"/>
        </w:rPr>
        <w:t xml:space="preserve">Barrios C. G., Cruz F. O., Pérez N. O., Herrera G. L., Sánchez B. S., Martínez R. N., Rodríguez S. V., Sánchez M. I. Remodelación industrial planta procesadora de leche UEB Santa Clara </w:t>
      </w:r>
      <w:r>
        <w:rPr>
          <w:rFonts w:ascii="Arial" w:hAnsi="Arial" w:cs="Arial"/>
          <w:bCs/>
          <w:lang w:val="es-ES"/>
        </w:rPr>
        <w:t>[Estudio de factibilidad técnico económica del proyecto]</w:t>
      </w:r>
      <w:r>
        <w:rPr>
          <w:rFonts w:ascii="Arial" w:hAnsi="Arial" w:cs="Arial"/>
          <w:lang w:val="es-ES"/>
        </w:rPr>
        <w:t>.</w:t>
      </w:r>
      <w:r>
        <w:rPr>
          <w:rFonts w:ascii="Arial" w:hAnsi="Arial" w:cs="Arial"/>
          <w:bCs/>
          <w:lang w:val="es-ES"/>
        </w:rPr>
        <w:t xml:space="preserve"> </w:t>
      </w:r>
      <w:r>
        <w:rPr>
          <w:rFonts w:ascii="Arial" w:hAnsi="Arial" w:cs="Arial"/>
          <w:lang w:val="en-US"/>
        </w:rPr>
        <w:t xml:space="preserve">GEPROY. </w:t>
      </w:r>
      <w:r>
        <w:rPr>
          <w:rFonts w:ascii="Arial" w:hAnsi="Arial" w:cs="Arial"/>
          <w:bCs/>
          <w:lang w:val="en-US"/>
        </w:rPr>
        <w:t xml:space="preserve">UCLV, </w:t>
      </w:r>
      <w:r>
        <w:rPr>
          <w:rFonts w:ascii="Arial" w:hAnsi="Arial" w:cs="Arial"/>
          <w:bCs/>
          <w:lang w:val="es-ES"/>
        </w:rPr>
        <w:t>Facultad de Ciencias Económicas /</w:t>
      </w:r>
      <w:r>
        <w:rPr>
          <w:rFonts w:ascii="Arial" w:hAnsi="Arial" w:cs="Arial"/>
          <w:lang w:val="en-US"/>
        </w:rPr>
        <w:t>2017.</w:t>
      </w:r>
    </w:p>
    <w:p w14:paraId="2524D4CF" w14:textId="77777777" w:rsidR="00D877E2" w:rsidRDefault="00000000">
      <w:pPr>
        <w:numPr>
          <w:ilvl w:val="0"/>
          <w:numId w:val="3"/>
        </w:numPr>
        <w:spacing w:after="0" w:line="240" w:lineRule="auto"/>
        <w:ind w:left="562" w:hanging="562"/>
        <w:jc w:val="both"/>
        <w:rPr>
          <w:rFonts w:ascii="Arial" w:hAnsi="Arial" w:cs="Arial"/>
          <w:color w:val="000000"/>
          <w:lang w:val="en-US"/>
        </w:rPr>
      </w:pPr>
      <w:r>
        <w:rPr>
          <w:rFonts w:ascii="Arial" w:hAnsi="Arial" w:cs="Arial"/>
          <w:bCs/>
          <w:iCs/>
          <w:color w:val="000000"/>
          <w:spacing w:val="-3"/>
          <w:lang w:val="es-AR"/>
        </w:rPr>
        <w:t xml:space="preserve">González Suárez, E., Concepción Toledo, D. N., Quezada Moreno, W. F., Albernas Carvajal, Y., De Armas Martínez, A. C., &amp; Miño Valdés, J. E. (2022). </w:t>
      </w:r>
      <w:r>
        <w:rPr>
          <w:rFonts w:ascii="Arial" w:hAnsi="Arial" w:cs="Arial"/>
          <w:bCs/>
          <w:iCs/>
          <w:color w:val="000000"/>
          <w:spacing w:val="-3"/>
          <w:lang w:val="pt-BR"/>
        </w:rPr>
        <w:t xml:space="preserve">Gestão do conhecimento na indústria transformadora através da aplicação de métodos de otimização. Revista </w:t>
      </w:r>
      <w:proofErr w:type="spellStart"/>
      <w:r>
        <w:rPr>
          <w:rFonts w:ascii="Arial" w:hAnsi="Arial" w:cs="Arial"/>
          <w:bCs/>
          <w:iCs/>
          <w:color w:val="000000"/>
          <w:spacing w:val="-3"/>
          <w:lang w:val="pt-BR"/>
        </w:rPr>
        <w:t>Universidad</w:t>
      </w:r>
      <w:proofErr w:type="spellEnd"/>
      <w:r>
        <w:rPr>
          <w:rFonts w:ascii="Arial" w:hAnsi="Arial" w:cs="Arial"/>
          <w:bCs/>
          <w:iCs/>
          <w:color w:val="000000"/>
          <w:spacing w:val="-3"/>
          <w:lang w:val="pt-BR"/>
        </w:rPr>
        <w:t xml:space="preserve"> y </w:t>
      </w:r>
      <w:proofErr w:type="spellStart"/>
      <w:r>
        <w:rPr>
          <w:rFonts w:ascii="Arial" w:hAnsi="Arial" w:cs="Arial"/>
          <w:bCs/>
          <w:iCs/>
          <w:color w:val="000000"/>
          <w:spacing w:val="-3"/>
          <w:lang w:val="pt-BR"/>
        </w:rPr>
        <w:t>Sociedad</w:t>
      </w:r>
      <w:proofErr w:type="spellEnd"/>
      <w:r>
        <w:rPr>
          <w:rFonts w:ascii="Arial" w:hAnsi="Arial" w:cs="Arial"/>
          <w:bCs/>
          <w:iCs/>
          <w:color w:val="000000"/>
          <w:spacing w:val="-3"/>
          <w:lang w:val="pt-BR"/>
        </w:rPr>
        <w:t xml:space="preserve">, 14(S1), 273-279 </w:t>
      </w:r>
    </w:p>
    <w:p w14:paraId="1104CDC3" w14:textId="77777777" w:rsidR="00D877E2" w:rsidRDefault="00000000">
      <w:pPr>
        <w:numPr>
          <w:ilvl w:val="0"/>
          <w:numId w:val="3"/>
        </w:numPr>
        <w:spacing w:after="0" w:line="240" w:lineRule="auto"/>
        <w:ind w:left="562" w:hanging="562"/>
        <w:jc w:val="both"/>
        <w:rPr>
          <w:rFonts w:ascii="Arial" w:hAnsi="Arial" w:cs="Arial"/>
          <w:lang w:val="en-US"/>
        </w:rPr>
      </w:pPr>
      <w:r>
        <w:rPr>
          <w:rFonts w:ascii="Arial" w:hAnsi="Arial" w:cs="Arial"/>
          <w:lang w:val="en-US"/>
        </w:rPr>
        <w:t>Hougen, O. A., &amp; Watson, K. M. Chemical Process Principles [</w:t>
      </w:r>
      <w:proofErr w:type="spellStart"/>
      <w:r>
        <w:rPr>
          <w:rFonts w:ascii="Arial" w:hAnsi="Arial" w:cs="Arial"/>
          <w:lang w:val="en-US"/>
        </w:rPr>
        <w:t>en</w:t>
      </w:r>
      <w:proofErr w:type="spellEnd"/>
      <w:r>
        <w:rPr>
          <w:rFonts w:ascii="Arial" w:hAnsi="Arial" w:cs="Arial"/>
          <w:lang w:val="en-US"/>
        </w:rPr>
        <w:t xml:space="preserve"> </w:t>
      </w:r>
      <w:proofErr w:type="spellStart"/>
      <w:r>
        <w:rPr>
          <w:rFonts w:ascii="Arial" w:hAnsi="Arial" w:cs="Arial"/>
          <w:lang w:val="en-US"/>
        </w:rPr>
        <w:t>línea</w:t>
      </w:r>
      <w:proofErr w:type="spellEnd"/>
      <w:r>
        <w:rPr>
          <w:rFonts w:ascii="Arial" w:hAnsi="Arial" w:cs="Arial"/>
          <w:lang w:val="en-US"/>
        </w:rPr>
        <w:t xml:space="preserve">]. United States of America. John Wiley &amp; Sons, 1952. </w:t>
      </w:r>
    </w:p>
    <w:p w14:paraId="00566D0A" w14:textId="5BDFE762" w:rsidR="00D877E2" w:rsidRPr="00FC2DFA" w:rsidRDefault="00FC2DFA">
      <w:pPr>
        <w:spacing w:after="0" w:line="240" w:lineRule="auto"/>
        <w:ind w:left="562"/>
        <w:jc w:val="both"/>
        <w:rPr>
          <w:lang w:val="en-US"/>
        </w:rPr>
      </w:pPr>
      <w:hyperlink r:id="rId13" w:history="1">
        <w:r w:rsidRPr="00E428EE">
          <w:rPr>
            <w:rStyle w:val="Hipervnculo"/>
            <w:rFonts w:ascii="Arial" w:hAnsi="Arial" w:cs="Arial"/>
            <w:lang w:val="en-US"/>
          </w:rPr>
          <w:t>https://thechemgate.files.wordpress.com/2019/01/process-calculation-by-watson.pdf</w:t>
        </w:r>
      </w:hyperlink>
    </w:p>
    <w:p w14:paraId="0EA1B8C8" w14:textId="77777777" w:rsidR="00D877E2" w:rsidRDefault="00000000">
      <w:pPr>
        <w:numPr>
          <w:ilvl w:val="0"/>
          <w:numId w:val="3"/>
        </w:numPr>
        <w:spacing w:after="0" w:line="240" w:lineRule="auto"/>
        <w:ind w:left="562" w:hanging="562"/>
        <w:jc w:val="both"/>
        <w:rPr>
          <w:rFonts w:ascii="Arial" w:hAnsi="Arial" w:cs="Arial"/>
        </w:rPr>
      </w:pPr>
      <w:r>
        <w:rPr>
          <w:rFonts w:ascii="Arial" w:hAnsi="Arial" w:cs="Arial"/>
        </w:rPr>
        <w:t>[</w:t>
      </w:r>
      <w:r w:rsidRPr="00FC2DFA">
        <w:rPr>
          <w:rFonts w:ascii="Arial" w:hAnsi="Arial" w:cs="Arial"/>
          <w:color w:val="000000"/>
        </w:rPr>
        <w:t>N</w:t>
      </w:r>
      <w:r>
        <w:rPr>
          <w:rFonts w:ascii="Arial" w:hAnsi="Arial" w:cs="Arial"/>
          <w:color w:val="000000"/>
        </w:rPr>
        <w:t xml:space="preserve">C: </w:t>
      </w:r>
      <w:r>
        <w:rPr>
          <w:rFonts w:ascii="Arial" w:hAnsi="Arial" w:cs="Arial"/>
          <w:color w:val="000000"/>
          <w:lang w:val="es-ES"/>
        </w:rPr>
        <w:t>176 “Sistema de abasto de agua en edificios sociales. Requisitos de proyecto”. La Habana</w:t>
      </w:r>
      <w:r>
        <w:rPr>
          <w:rFonts w:ascii="Arial" w:hAnsi="Arial" w:cs="Arial"/>
          <w:color w:val="000000"/>
        </w:rPr>
        <w:t xml:space="preserve">: </w:t>
      </w:r>
      <w:r>
        <w:rPr>
          <w:rFonts w:ascii="Arial" w:hAnsi="Arial" w:cs="Arial"/>
          <w:color w:val="000000"/>
          <w:lang w:val="es-ES"/>
        </w:rPr>
        <w:t>Oficina Nacional de Normalización</w:t>
      </w:r>
      <w:r>
        <w:rPr>
          <w:rFonts w:ascii="Arial" w:hAnsi="Arial" w:cs="Arial"/>
          <w:color w:val="000000"/>
        </w:rPr>
        <w:t>, 2002.</w:t>
      </w:r>
    </w:p>
    <w:p w14:paraId="6D3A8135" w14:textId="77777777" w:rsidR="00D877E2" w:rsidRDefault="00000000">
      <w:pPr>
        <w:numPr>
          <w:ilvl w:val="0"/>
          <w:numId w:val="3"/>
        </w:numPr>
        <w:spacing w:after="0" w:line="240" w:lineRule="auto"/>
        <w:ind w:left="562" w:hanging="562"/>
        <w:jc w:val="both"/>
        <w:rPr>
          <w:rFonts w:ascii="Arial" w:hAnsi="Arial" w:cs="Arial"/>
        </w:rPr>
      </w:pPr>
      <w:r>
        <w:rPr>
          <w:rFonts w:ascii="Arial" w:hAnsi="Arial" w:cs="Arial"/>
          <w:lang w:val="es-ES"/>
        </w:rPr>
        <w:t>INRH. Resolución 17 “Índices de consumo de agua para producciones y servicios”.  La Habana</w:t>
      </w:r>
      <w:r>
        <w:rPr>
          <w:rFonts w:ascii="Arial" w:hAnsi="Arial" w:cs="Arial"/>
        </w:rPr>
        <w:t>:</w:t>
      </w:r>
      <w:r>
        <w:rPr>
          <w:rFonts w:ascii="Arial" w:hAnsi="Arial" w:cs="Arial"/>
          <w:lang w:val="es-ES"/>
        </w:rPr>
        <w:t xml:space="preserve"> INRH, 2020.</w:t>
      </w:r>
    </w:p>
    <w:p w14:paraId="787BD16E" w14:textId="77777777" w:rsidR="00D877E2" w:rsidRDefault="00000000">
      <w:pPr>
        <w:numPr>
          <w:ilvl w:val="0"/>
          <w:numId w:val="3"/>
        </w:numPr>
        <w:spacing w:after="0" w:line="240" w:lineRule="auto"/>
        <w:ind w:left="562" w:hanging="562"/>
        <w:jc w:val="both"/>
      </w:pPr>
      <w:r>
        <w:rPr>
          <w:rFonts w:ascii="Arial" w:hAnsi="Arial" w:cs="Arial"/>
        </w:rPr>
        <w:t xml:space="preserve">Mott </w:t>
      </w:r>
      <w:proofErr w:type="spellStart"/>
      <w:r>
        <w:rPr>
          <w:rFonts w:ascii="Arial" w:hAnsi="Arial" w:cs="Arial"/>
        </w:rPr>
        <w:t>R.and</w:t>
      </w:r>
      <w:proofErr w:type="spellEnd"/>
      <w:r>
        <w:rPr>
          <w:rFonts w:ascii="Arial" w:hAnsi="Arial" w:cs="Arial"/>
        </w:rPr>
        <w:t xml:space="preserve"> J. </w:t>
      </w:r>
      <w:proofErr w:type="spellStart"/>
      <w:r>
        <w:rPr>
          <w:rFonts w:ascii="Arial" w:hAnsi="Arial" w:cs="Arial"/>
        </w:rPr>
        <w:t>Untener</w:t>
      </w:r>
      <w:proofErr w:type="spellEnd"/>
      <w:r>
        <w:rPr>
          <w:rFonts w:ascii="Arial" w:hAnsi="Arial" w:cs="Arial"/>
        </w:rPr>
        <w:t>, Mecánica de Fluidos, 7 edición. México: Pearson Educación, 2015.</w:t>
      </w:r>
    </w:p>
    <w:p w14:paraId="411E730E" w14:textId="77777777" w:rsidR="00D877E2" w:rsidRDefault="00000000">
      <w:pPr>
        <w:numPr>
          <w:ilvl w:val="0"/>
          <w:numId w:val="3"/>
        </w:numPr>
        <w:spacing w:after="0" w:line="240" w:lineRule="auto"/>
        <w:ind w:left="562" w:hanging="562"/>
        <w:jc w:val="both"/>
      </w:pPr>
      <w:r>
        <w:rPr>
          <w:lang w:val="es-ES"/>
        </w:rPr>
        <w:t>Pedrosa González, E. 2018. Hidráulica Básica. Historia, conceptos previos y ecuaciones.  Instituto Mexicano de Tecnología del Agua. Abastecimiento de agua   y remoción de aguas residuales.</w:t>
      </w:r>
      <w:r>
        <w:rPr>
          <w:color w:val="0000FF"/>
          <w:u w:val="single"/>
        </w:rPr>
        <w:t xml:space="preserve"> </w:t>
      </w:r>
      <w:hyperlink r:id="rId14">
        <w:r>
          <w:rPr>
            <w:rStyle w:val="Hipervnculo"/>
          </w:rPr>
          <w:t>http://repositorio.imta.mex/handle/20.500.12013/2186</w:t>
        </w:r>
      </w:hyperlink>
    </w:p>
    <w:p w14:paraId="4830B0EF" w14:textId="77777777" w:rsidR="00D877E2" w:rsidRDefault="00000000">
      <w:pPr>
        <w:numPr>
          <w:ilvl w:val="0"/>
          <w:numId w:val="3"/>
        </w:numPr>
        <w:spacing w:after="0" w:line="240" w:lineRule="auto"/>
        <w:ind w:left="562" w:hanging="562"/>
        <w:jc w:val="both"/>
      </w:pPr>
      <w:r>
        <w:rPr>
          <w:rFonts w:ascii="Arial" w:hAnsi="Arial" w:cs="Arial"/>
        </w:rPr>
        <w:t xml:space="preserve">Prieto, V., C. Jaca, M. Ormazabal. Economía circular: Relación con la evolución del concepto de sostenibilidad y estrategias para su implementación. </w:t>
      </w:r>
      <w:r>
        <w:rPr>
          <w:rFonts w:ascii="Arial" w:hAnsi="Arial" w:cs="Arial"/>
          <w:lang w:val="en-US"/>
        </w:rPr>
        <w:t xml:space="preserve">Memoria </w:t>
      </w:r>
      <w:proofErr w:type="spellStart"/>
      <w:r>
        <w:rPr>
          <w:rFonts w:ascii="Arial" w:hAnsi="Arial" w:cs="Arial"/>
          <w:lang w:val="en-US"/>
        </w:rPr>
        <w:t>Investigaciones</w:t>
      </w:r>
      <w:proofErr w:type="spellEnd"/>
      <w:r>
        <w:rPr>
          <w:rFonts w:ascii="Arial" w:hAnsi="Arial" w:cs="Arial"/>
          <w:lang w:val="en-US"/>
        </w:rPr>
        <w:t xml:space="preserve"> </w:t>
      </w:r>
      <w:proofErr w:type="spellStart"/>
      <w:r>
        <w:rPr>
          <w:rFonts w:ascii="Arial" w:hAnsi="Arial" w:cs="Arial"/>
          <w:lang w:val="en-US"/>
        </w:rPr>
        <w:t>en</w:t>
      </w:r>
      <w:proofErr w:type="spellEnd"/>
      <w:r>
        <w:rPr>
          <w:rFonts w:ascii="Arial" w:hAnsi="Arial" w:cs="Arial"/>
          <w:lang w:val="en-US"/>
        </w:rPr>
        <w:t xml:space="preserve"> Ingeniería, </w:t>
      </w:r>
      <w:proofErr w:type="spellStart"/>
      <w:r>
        <w:rPr>
          <w:rFonts w:ascii="Arial" w:hAnsi="Arial" w:cs="Arial"/>
          <w:lang w:val="en-US"/>
        </w:rPr>
        <w:t>núm</w:t>
      </w:r>
      <w:proofErr w:type="spellEnd"/>
      <w:r>
        <w:rPr>
          <w:rFonts w:ascii="Arial" w:hAnsi="Arial" w:cs="Arial"/>
          <w:lang w:val="en-US"/>
        </w:rPr>
        <w:t xml:space="preserve">. </w:t>
      </w:r>
      <w:proofErr w:type="gramStart"/>
      <w:r>
        <w:rPr>
          <w:rFonts w:ascii="Arial" w:hAnsi="Arial" w:cs="Arial"/>
          <w:lang w:val="en-US"/>
        </w:rPr>
        <w:t>15 .</w:t>
      </w:r>
      <w:proofErr w:type="gramEnd"/>
      <w:r>
        <w:rPr>
          <w:rFonts w:ascii="Arial" w:hAnsi="Arial" w:cs="Arial"/>
          <w:lang w:val="en-US"/>
        </w:rPr>
        <w:t xml:space="preserve"> 2017 </w:t>
      </w:r>
    </w:p>
    <w:p w14:paraId="0F009A4B" w14:textId="440EA594" w:rsidR="00D877E2" w:rsidRDefault="00000000">
      <w:pPr>
        <w:numPr>
          <w:ilvl w:val="0"/>
          <w:numId w:val="3"/>
        </w:numPr>
        <w:spacing w:after="0" w:line="240" w:lineRule="auto"/>
        <w:ind w:left="562" w:hanging="562"/>
        <w:jc w:val="both"/>
      </w:pPr>
      <w:r w:rsidRPr="00FC2DFA">
        <w:rPr>
          <w:rFonts w:ascii="Times New Roman" w:hAnsi="Times New Roman" w:cs="Times New Roman"/>
          <w:color w:val="000000"/>
          <w:lang w:val="es-ES"/>
        </w:rPr>
        <w:t>Sosa Fernández, D. E. González Suárez</w:t>
      </w:r>
      <w:r>
        <w:rPr>
          <w:rFonts w:ascii="Times New Roman" w:hAnsi="Times New Roman" w:cs="Times New Roman"/>
          <w:bCs/>
          <w:color w:val="000000"/>
          <w:lang w:val="es-ES"/>
        </w:rPr>
        <w:t xml:space="preserve"> y D. Morales Arbolaez. </w:t>
      </w:r>
      <w:r>
        <w:rPr>
          <w:rFonts w:ascii="Arial" w:hAnsi="Arial" w:cs="Arial"/>
          <w:color w:val="000000"/>
          <w:lang w:val="es-ES"/>
        </w:rPr>
        <w:t xml:space="preserve"> Posibilidades de </w:t>
      </w:r>
      <w:r>
        <w:rPr>
          <w:rFonts w:ascii="Arial" w:hAnsi="Arial" w:cs="Arial"/>
          <w:color w:val="000000"/>
        </w:rPr>
        <w:t>minimización</w:t>
      </w:r>
      <w:r>
        <w:rPr>
          <w:rFonts w:ascii="Arial" w:hAnsi="Arial" w:cs="Arial"/>
          <w:color w:val="000000"/>
          <w:lang w:val="es-ES"/>
        </w:rPr>
        <w:t xml:space="preserve"> del consumo de </w:t>
      </w:r>
      <w:proofErr w:type="gramStart"/>
      <w:r>
        <w:rPr>
          <w:rFonts w:ascii="Arial" w:hAnsi="Arial" w:cs="Arial"/>
          <w:color w:val="000000"/>
          <w:lang w:val="es-ES"/>
        </w:rPr>
        <w:t>agua  mediante</w:t>
      </w:r>
      <w:proofErr w:type="gramEnd"/>
      <w:r>
        <w:rPr>
          <w:rFonts w:ascii="Arial" w:hAnsi="Arial" w:cs="Arial"/>
          <w:color w:val="000000"/>
          <w:lang w:val="es-ES"/>
        </w:rPr>
        <w:t xml:space="preserve"> mejoras en planta de productos lácteos. Revista Centro </w:t>
      </w:r>
      <w:proofErr w:type="spellStart"/>
      <w:r>
        <w:rPr>
          <w:rFonts w:ascii="Arial" w:hAnsi="Arial" w:cs="Arial"/>
          <w:color w:val="000000"/>
          <w:lang w:val="es-ES"/>
        </w:rPr>
        <w:t>Azucar</w:t>
      </w:r>
      <w:proofErr w:type="spellEnd"/>
      <w:r>
        <w:rPr>
          <w:rFonts w:ascii="Arial" w:hAnsi="Arial" w:cs="Arial"/>
          <w:color w:val="000000"/>
          <w:lang w:val="es-ES"/>
        </w:rPr>
        <w:t>, 2025, Vol. 52. ISSN 2223-4861</w:t>
      </w:r>
      <w:r>
        <w:rPr>
          <w:rFonts w:ascii="Times New Roman" w:hAnsi="Times New Roman" w:cs="Times New Roman"/>
          <w:bCs/>
          <w:color w:val="000000"/>
          <w:lang w:val="es-ES"/>
        </w:rPr>
        <w:t xml:space="preserve">. </w:t>
      </w:r>
      <w:hyperlink r:id="rId15">
        <w:r>
          <w:rPr>
            <w:rStyle w:val="Hipervnculo"/>
            <w:rFonts w:ascii="Times New Roman" w:hAnsi="Times New Roman" w:cs="Times New Roman"/>
            <w:bCs/>
            <w:color w:val="000000"/>
            <w:lang w:val="es-ES"/>
          </w:rPr>
          <w:t>http://centroazucar.uclv.edu.cu/index.php/centro_azucar/article/view</w:t>
        </w:r>
      </w:hyperlink>
    </w:p>
    <w:p w14:paraId="1EF36CE6" w14:textId="43E37178" w:rsidR="00D877E2" w:rsidRPr="00FC2DFA" w:rsidRDefault="00000000" w:rsidP="00FC2DFA">
      <w:pPr>
        <w:numPr>
          <w:ilvl w:val="0"/>
          <w:numId w:val="3"/>
        </w:numPr>
        <w:spacing w:after="0" w:line="240" w:lineRule="auto"/>
        <w:ind w:left="562" w:hanging="562"/>
        <w:jc w:val="both"/>
        <w:rPr>
          <w:color w:val="000000"/>
        </w:rPr>
      </w:pPr>
      <w:r w:rsidRPr="00FC2DFA">
        <w:rPr>
          <w:rFonts w:ascii="Arial" w:hAnsi="Arial" w:cs="Arial"/>
          <w:bCs/>
          <w:color w:val="000000"/>
        </w:rPr>
        <w:t xml:space="preserve">TLV, “Recuperación de Condensado: Sistemas Venteados vs. Presurizados.” Consultado 12 de septiembre del 2026. </w:t>
      </w:r>
      <w:hyperlink r:id="rId16">
        <w:r w:rsidRPr="00FC2DFA">
          <w:rPr>
            <w:rStyle w:val="Hipervnculo"/>
            <w:color w:val="000000"/>
          </w:rPr>
          <w:t>https://www.tlv.com/sites/default/files/tlv_assets/product_v2/pdf/archived-documents/l-gt10m-hp.pdf</w:t>
        </w:r>
      </w:hyperlink>
    </w:p>
    <w:sectPr w:rsidR="00D877E2" w:rsidRPr="00FC2DFA">
      <w:pgSz w:w="12240" w:h="15840"/>
      <w:pgMar w:top="1418" w:right="1418" w:bottom="1418" w:left="1418"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1"/>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eelawadee">
    <w:panose1 w:val="020B0502040204020203"/>
    <w:charset w:val="00"/>
    <w:family w:val="swiss"/>
    <w:pitch w:val="variable"/>
    <w:sig w:usb0="01000003" w:usb1="00000000" w:usb2="00000000" w:usb3="00000000" w:csb0="00010001"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674D58"/>
    <w:multiLevelType w:val="multilevel"/>
    <w:tmpl w:val="C7FEF71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4F9018EB"/>
    <w:multiLevelType w:val="multilevel"/>
    <w:tmpl w:val="4B86DA7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15:restartNumberingAfterBreak="0">
    <w:nsid w:val="53AF2193"/>
    <w:multiLevelType w:val="multilevel"/>
    <w:tmpl w:val="C91CD676"/>
    <w:lvl w:ilvl="0">
      <w:start w:val="1"/>
      <w:numFmt w:val="decimal"/>
      <w:lvlText w:val="%1."/>
      <w:lvlJc w:val="left"/>
      <w:pPr>
        <w:tabs>
          <w:tab w:val="num" w:pos="0"/>
        </w:tabs>
        <w:ind w:left="720" w:hanging="360"/>
      </w:pPr>
      <w:rPr>
        <w:b/>
        <w:bCs/>
      </w:rPr>
    </w:lvl>
    <w:lvl w:ilvl="1">
      <w:start w:val="1"/>
      <w:numFmt w:val="decimal"/>
      <w:isLgl/>
      <w:lvlText w:val="%1.%2."/>
      <w:lvlJc w:val="left"/>
      <w:pPr>
        <w:tabs>
          <w:tab w:val="num" w:pos="0"/>
        </w:tabs>
        <w:ind w:left="1080" w:hanging="720"/>
      </w:pPr>
      <w:rPr>
        <w:b/>
      </w:rPr>
    </w:lvl>
    <w:lvl w:ilvl="2">
      <w:start w:val="1"/>
      <w:numFmt w:val="decimal"/>
      <w:isLgl/>
      <w:lvlText w:val="%1.%2.%3."/>
      <w:lvlJc w:val="left"/>
      <w:pPr>
        <w:tabs>
          <w:tab w:val="num" w:pos="0"/>
        </w:tabs>
        <w:ind w:left="1080" w:hanging="720"/>
      </w:pPr>
      <w:rPr>
        <w:b/>
      </w:rPr>
    </w:lvl>
    <w:lvl w:ilvl="3">
      <w:start w:val="1"/>
      <w:numFmt w:val="decimal"/>
      <w:isLgl/>
      <w:lvlText w:val="%1.%2.%3.%4."/>
      <w:lvlJc w:val="left"/>
      <w:pPr>
        <w:tabs>
          <w:tab w:val="num" w:pos="0"/>
        </w:tabs>
        <w:ind w:left="1440" w:hanging="1080"/>
      </w:pPr>
    </w:lvl>
    <w:lvl w:ilvl="4">
      <w:start w:val="1"/>
      <w:numFmt w:val="decimal"/>
      <w:isLgl/>
      <w:lvlText w:val="%1.%2.%3.%4.%5."/>
      <w:lvlJc w:val="left"/>
      <w:pPr>
        <w:tabs>
          <w:tab w:val="num" w:pos="0"/>
        </w:tabs>
        <w:ind w:left="1440" w:hanging="1080"/>
      </w:pPr>
    </w:lvl>
    <w:lvl w:ilvl="5">
      <w:start w:val="1"/>
      <w:numFmt w:val="decimal"/>
      <w:isLgl/>
      <w:lvlText w:val="%1.%2.%3.%4.%5.%6."/>
      <w:lvlJc w:val="left"/>
      <w:pPr>
        <w:tabs>
          <w:tab w:val="num" w:pos="0"/>
        </w:tabs>
        <w:ind w:left="1800" w:hanging="1440"/>
      </w:pPr>
    </w:lvl>
    <w:lvl w:ilvl="6">
      <w:start w:val="1"/>
      <w:numFmt w:val="decimal"/>
      <w:isLgl/>
      <w:lvlText w:val="%1.%2.%3.%4.%5.%6.%7."/>
      <w:lvlJc w:val="left"/>
      <w:pPr>
        <w:tabs>
          <w:tab w:val="num" w:pos="0"/>
        </w:tabs>
        <w:ind w:left="1800" w:hanging="1440"/>
      </w:pPr>
    </w:lvl>
    <w:lvl w:ilvl="7">
      <w:start w:val="1"/>
      <w:numFmt w:val="decimal"/>
      <w:isLgl/>
      <w:lvlText w:val="%1.%2.%3.%4.%5.%6.%7.%8."/>
      <w:lvlJc w:val="left"/>
      <w:pPr>
        <w:tabs>
          <w:tab w:val="num" w:pos="0"/>
        </w:tabs>
        <w:ind w:left="2160" w:hanging="1800"/>
      </w:pPr>
    </w:lvl>
    <w:lvl w:ilvl="8">
      <w:start w:val="1"/>
      <w:numFmt w:val="decimal"/>
      <w:isLgl/>
      <w:lvlText w:val="%1.%2.%3.%4.%5.%6.%7.%8.%9."/>
      <w:lvlJc w:val="left"/>
      <w:pPr>
        <w:tabs>
          <w:tab w:val="num" w:pos="0"/>
        </w:tabs>
        <w:ind w:left="2520" w:hanging="2160"/>
      </w:pPr>
    </w:lvl>
  </w:abstractNum>
  <w:abstractNum w:abstractNumId="3" w15:restartNumberingAfterBreak="0">
    <w:nsid w:val="625769F7"/>
    <w:multiLevelType w:val="multilevel"/>
    <w:tmpl w:val="DD5484BA"/>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64794881"/>
    <w:multiLevelType w:val="multilevel"/>
    <w:tmpl w:val="845C4980"/>
    <w:lvl w:ilvl="0">
      <w:start w:val="1"/>
      <w:numFmt w:val="decimal"/>
      <w:lvlText w:val="%1)"/>
      <w:lvlJc w:val="left"/>
      <w:pPr>
        <w:tabs>
          <w:tab w:val="num" w:pos="0"/>
        </w:tabs>
        <w:ind w:left="720" w:hanging="360"/>
      </w:pPr>
      <w:rPr>
        <w:b w:val="0"/>
        <w:bCs w:val="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941230929">
    <w:abstractNumId w:val="2"/>
  </w:num>
  <w:num w:numId="2" w16cid:durableId="682779344">
    <w:abstractNumId w:val="4"/>
  </w:num>
  <w:num w:numId="3" w16cid:durableId="1443454633">
    <w:abstractNumId w:val="3"/>
  </w:num>
  <w:num w:numId="4" w16cid:durableId="1145706102">
    <w:abstractNumId w:val="1"/>
  </w:num>
  <w:num w:numId="5" w16cid:durableId="16101195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82"/>
  <w:proofState w:spelling="clean" w:grammar="clean"/>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77E2"/>
    <w:rsid w:val="00191547"/>
    <w:rsid w:val="00262EFA"/>
    <w:rsid w:val="005A4FAD"/>
    <w:rsid w:val="00D877E2"/>
    <w:rsid w:val="00FC2DFA"/>
  </w:rsids>
  <m:mathPr>
    <m:mathFont m:val="Cambria Math"/>
    <m:brkBin m:val="before"/>
    <m:brkBinSub m:val="--"/>
    <m:smallFrac m:val="0"/>
    <m:dispDef/>
    <m:lMargin m:val="0"/>
    <m:rMargin m:val="0"/>
    <m:defJc m:val="centerGroup"/>
    <m:wrapIndent m:val="1440"/>
    <m:intLim m:val="subSup"/>
    <m:naryLim m:val="undOvr"/>
  </m:mathPr>
  <w:themeFontLang w:val="es-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38B1B"/>
  <w15:docId w15:val="{29069F09-2338-4443-8E94-D3DDABA05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US"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style>
  <w:style w:type="paragraph" w:styleId="Ttulo1">
    <w:name w:val="heading 1"/>
    <w:basedOn w:val="Normal"/>
    <w:next w:val="Normal"/>
    <w:link w:val="Ttulo1Car"/>
    <w:uiPriority w:val="9"/>
    <w:qFormat/>
    <w:rsid w:val="008968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8968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9680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unhideWhenUsed/>
    <w:qFormat/>
    <w:rsid w:val="0089680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9680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9680A"/>
    <w:pPr>
      <w:keepNext/>
      <w:keepLines/>
      <w:spacing w:before="40" w:after="0"/>
      <w:outlineLvl w:val="5"/>
    </w:pPr>
    <w:rPr>
      <w:rFonts w:eastAsiaTheme="majorEastAsia" w:cstheme="majorBidi"/>
      <w:i/>
      <w:iCs/>
      <w:color w:val="595959" w:themeColor="dark1" w:themeTint="A6"/>
    </w:rPr>
  </w:style>
  <w:style w:type="paragraph" w:styleId="Ttulo7">
    <w:name w:val="heading 7"/>
    <w:basedOn w:val="Normal"/>
    <w:next w:val="Normal"/>
    <w:link w:val="Ttulo7Car"/>
    <w:uiPriority w:val="9"/>
    <w:semiHidden/>
    <w:unhideWhenUsed/>
    <w:qFormat/>
    <w:rsid w:val="0089680A"/>
    <w:pPr>
      <w:keepNext/>
      <w:keepLines/>
      <w:spacing w:before="40" w:after="0"/>
      <w:outlineLvl w:val="6"/>
    </w:pPr>
    <w:rPr>
      <w:rFonts w:eastAsiaTheme="majorEastAsia" w:cstheme="majorBidi"/>
      <w:color w:val="595959" w:themeColor="dark1" w:themeTint="A6"/>
    </w:rPr>
  </w:style>
  <w:style w:type="paragraph" w:styleId="Ttulo8">
    <w:name w:val="heading 8"/>
    <w:basedOn w:val="Normal"/>
    <w:next w:val="Normal"/>
    <w:link w:val="Ttulo8Car"/>
    <w:uiPriority w:val="9"/>
    <w:semiHidden/>
    <w:unhideWhenUsed/>
    <w:qFormat/>
    <w:rsid w:val="0089680A"/>
    <w:pPr>
      <w:keepNext/>
      <w:keepLines/>
      <w:spacing w:after="0"/>
      <w:outlineLvl w:val="7"/>
    </w:pPr>
    <w:rPr>
      <w:rFonts w:eastAsiaTheme="majorEastAsia" w:cstheme="majorBidi"/>
      <w:i/>
      <w:iCs/>
      <w:color w:val="272727" w:themeColor="dark1" w:themeTint="D8"/>
    </w:rPr>
  </w:style>
  <w:style w:type="paragraph" w:styleId="Ttulo9">
    <w:name w:val="heading 9"/>
    <w:basedOn w:val="Normal"/>
    <w:next w:val="Normal"/>
    <w:link w:val="Ttulo9Car"/>
    <w:uiPriority w:val="9"/>
    <w:semiHidden/>
    <w:unhideWhenUsed/>
    <w:qFormat/>
    <w:rsid w:val="0089680A"/>
    <w:pPr>
      <w:keepNext/>
      <w:keepLines/>
      <w:spacing w:after="0"/>
      <w:outlineLvl w:val="8"/>
    </w:pPr>
    <w:rPr>
      <w:rFonts w:eastAsiaTheme="majorEastAsia" w:cstheme="majorBidi"/>
      <w:color w:val="272727" w:themeColor="dark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qFormat/>
    <w:rsid w:val="0089680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qFormat/>
    <w:rsid w:val="0089680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qFormat/>
    <w:rsid w:val="0089680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qFormat/>
    <w:rsid w:val="0089680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qFormat/>
    <w:rsid w:val="0089680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qFormat/>
    <w:rsid w:val="0089680A"/>
    <w:rPr>
      <w:rFonts w:eastAsiaTheme="majorEastAsia" w:cstheme="majorBidi"/>
      <w:i/>
      <w:iCs/>
      <w:color w:val="595959" w:themeColor="dark1" w:themeTint="A6"/>
    </w:rPr>
  </w:style>
  <w:style w:type="character" w:customStyle="1" w:styleId="Ttulo7Car">
    <w:name w:val="Título 7 Car"/>
    <w:basedOn w:val="Fuentedeprrafopredeter"/>
    <w:link w:val="Ttulo7"/>
    <w:uiPriority w:val="9"/>
    <w:semiHidden/>
    <w:qFormat/>
    <w:rsid w:val="0089680A"/>
    <w:rPr>
      <w:rFonts w:eastAsiaTheme="majorEastAsia" w:cstheme="majorBidi"/>
      <w:color w:val="595959" w:themeColor="dark1" w:themeTint="A6"/>
    </w:rPr>
  </w:style>
  <w:style w:type="character" w:customStyle="1" w:styleId="Ttulo8Car">
    <w:name w:val="Título 8 Car"/>
    <w:basedOn w:val="Fuentedeprrafopredeter"/>
    <w:link w:val="Ttulo8"/>
    <w:uiPriority w:val="9"/>
    <w:semiHidden/>
    <w:qFormat/>
    <w:rsid w:val="0089680A"/>
    <w:rPr>
      <w:rFonts w:eastAsiaTheme="majorEastAsia" w:cstheme="majorBidi"/>
      <w:i/>
      <w:iCs/>
      <w:color w:val="272727" w:themeColor="dark1" w:themeTint="D8"/>
    </w:rPr>
  </w:style>
  <w:style w:type="character" w:customStyle="1" w:styleId="Ttulo9Car">
    <w:name w:val="Título 9 Car"/>
    <w:basedOn w:val="Fuentedeprrafopredeter"/>
    <w:link w:val="Ttulo9"/>
    <w:uiPriority w:val="9"/>
    <w:semiHidden/>
    <w:qFormat/>
    <w:rsid w:val="0089680A"/>
    <w:rPr>
      <w:rFonts w:eastAsiaTheme="majorEastAsia" w:cstheme="majorBidi"/>
      <w:color w:val="272727" w:themeColor="dark1" w:themeTint="D8"/>
    </w:rPr>
  </w:style>
  <w:style w:type="character" w:customStyle="1" w:styleId="TtuloCar">
    <w:name w:val="Título Car"/>
    <w:basedOn w:val="Fuentedeprrafopredeter"/>
    <w:link w:val="Ttulo"/>
    <w:uiPriority w:val="10"/>
    <w:qFormat/>
    <w:rsid w:val="0089680A"/>
    <w:rPr>
      <w:rFonts w:asciiTheme="majorHAnsi" w:eastAsiaTheme="majorEastAsia" w:hAnsiTheme="majorHAnsi" w:cstheme="majorBidi"/>
      <w:spacing w:val="-10"/>
      <w:kern w:val="2"/>
      <w:sz w:val="56"/>
      <w:szCs w:val="56"/>
    </w:rPr>
  </w:style>
  <w:style w:type="character" w:customStyle="1" w:styleId="SubttuloCar">
    <w:name w:val="Subtítulo Car"/>
    <w:basedOn w:val="Fuentedeprrafopredeter"/>
    <w:link w:val="Subttulo"/>
    <w:uiPriority w:val="11"/>
    <w:qFormat/>
    <w:rsid w:val="0089680A"/>
    <w:rPr>
      <w:rFonts w:eastAsiaTheme="majorEastAsia" w:cstheme="majorBidi"/>
      <w:color w:val="595959" w:themeColor="dark1" w:themeTint="A6"/>
      <w:spacing w:val="15"/>
      <w:sz w:val="28"/>
      <w:szCs w:val="28"/>
    </w:rPr>
  </w:style>
  <w:style w:type="character" w:customStyle="1" w:styleId="CitaCar">
    <w:name w:val="Cita Car"/>
    <w:basedOn w:val="Fuentedeprrafopredeter"/>
    <w:link w:val="Cita"/>
    <w:uiPriority w:val="29"/>
    <w:qFormat/>
    <w:rsid w:val="0089680A"/>
    <w:rPr>
      <w:i/>
      <w:iCs/>
      <w:color w:val="404040" w:themeColor="dark1" w:themeTint="BF"/>
    </w:rPr>
  </w:style>
  <w:style w:type="character" w:styleId="nfasisintenso">
    <w:name w:val="Intense Emphasis"/>
    <w:basedOn w:val="Fuentedeprrafopredeter"/>
    <w:uiPriority w:val="21"/>
    <w:qFormat/>
    <w:rsid w:val="0089680A"/>
    <w:rPr>
      <w:i/>
      <w:iCs/>
      <w:color w:val="0F4761" w:themeColor="accent1" w:themeShade="BF"/>
    </w:rPr>
  </w:style>
  <w:style w:type="character" w:customStyle="1" w:styleId="CitadestacadaCar">
    <w:name w:val="Cita destacada Car"/>
    <w:basedOn w:val="Fuentedeprrafopredeter"/>
    <w:link w:val="Citadestacada"/>
    <w:uiPriority w:val="30"/>
    <w:qFormat/>
    <w:rsid w:val="0089680A"/>
    <w:rPr>
      <w:i/>
      <w:iCs/>
      <w:color w:val="0F4761" w:themeColor="accent1" w:themeShade="BF"/>
    </w:rPr>
  </w:style>
  <w:style w:type="character" w:styleId="Referenciaintensa">
    <w:name w:val="Intense Reference"/>
    <w:basedOn w:val="Fuentedeprrafopredeter"/>
    <w:uiPriority w:val="32"/>
    <w:qFormat/>
    <w:rsid w:val="0089680A"/>
    <w:rPr>
      <w:b/>
      <w:bCs/>
      <w:smallCaps/>
      <w:color w:val="0F4761" w:themeColor="accent1" w:themeShade="BF"/>
      <w:spacing w:val="5"/>
    </w:rPr>
  </w:style>
  <w:style w:type="character" w:styleId="Textodelmarcadordeposicin">
    <w:name w:val="Placeholder Text"/>
    <w:basedOn w:val="Fuentedeprrafopredeter"/>
    <w:uiPriority w:val="99"/>
    <w:semiHidden/>
    <w:qFormat/>
    <w:rsid w:val="00CA7D44"/>
    <w:rPr>
      <w:color w:val="666666"/>
    </w:rPr>
  </w:style>
  <w:style w:type="character" w:customStyle="1" w:styleId="HTMLconformatoprevioCar">
    <w:name w:val="HTML con formato previo Car"/>
    <w:basedOn w:val="Fuentedeprrafopredeter"/>
    <w:link w:val="HTMLconformatoprevio"/>
    <w:uiPriority w:val="99"/>
    <w:semiHidden/>
    <w:qFormat/>
    <w:rsid w:val="00DC3A6C"/>
    <w:rPr>
      <w:rFonts w:ascii="Courier New" w:eastAsia="Times New Roman" w:hAnsi="Courier New" w:cs="Courier New"/>
      <w:kern w:val="0"/>
      <w:sz w:val="20"/>
      <w:szCs w:val="20"/>
      <w:lang w:val="es-MX" w:eastAsia="es-MX"/>
      <w14:ligatures w14:val="none"/>
    </w:rPr>
  </w:style>
  <w:style w:type="character" w:styleId="Fuerte">
    <w:name w:val="Strong"/>
    <w:basedOn w:val="Fuentedeprrafopredeter"/>
    <w:uiPriority w:val="22"/>
    <w:qFormat/>
    <w:rsid w:val="00312599"/>
    <w:rPr>
      <w:b/>
      <w:bCs/>
    </w:rPr>
  </w:style>
  <w:style w:type="character" w:styleId="Hipervnculo">
    <w:name w:val="Hyperlink"/>
    <w:basedOn w:val="Fuentedeprrafopredeter"/>
    <w:uiPriority w:val="99"/>
    <w:unhideWhenUsed/>
    <w:rsid w:val="00467F6A"/>
    <w:rPr>
      <w:color w:val="0000FF"/>
      <w:u w:val="single"/>
    </w:rPr>
  </w:style>
  <w:style w:type="character" w:customStyle="1" w:styleId="ArticleFulltextCar">
    <w:name w:val="Article Fulltext Car"/>
    <w:basedOn w:val="Fuentedeprrafopredeter"/>
    <w:link w:val="ArticleFulltext"/>
    <w:qFormat/>
    <w:rsid w:val="00467F6A"/>
    <w:rPr>
      <w:rFonts w:ascii="Leelawadee" w:eastAsia="SimSun" w:hAnsi="Leelawadee" w:cs="Leelawadee"/>
      <w:kern w:val="0"/>
      <w:lang w:val="en-GB"/>
      <w14:ligatures w14:val="none"/>
    </w:rPr>
  </w:style>
  <w:style w:type="character" w:styleId="Refdecomentario">
    <w:name w:val="annotation reference"/>
    <w:basedOn w:val="Fuentedeprrafopredeter"/>
    <w:uiPriority w:val="99"/>
    <w:semiHidden/>
    <w:unhideWhenUsed/>
    <w:qFormat/>
    <w:rsid w:val="00E807FF"/>
    <w:rPr>
      <w:sz w:val="16"/>
      <w:szCs w:val="16"/>
    </w:rPr>
  </w:style>
  <w:style w:type="character" w:customStyle="1" w:styleId="TextocomentarioCar">
    <w:name w:val="Texto comentario Car"/>
    <w:basedOn w:val="Fuentedeprrafopredeter"/>
    <w:link w:val="Textocomentario"/>
    <w:uiPriority w:val="99"/>
    <w:semiHidden/>
    <w:qFormat/>
    <w:rsid w:val="00E807FF"/>
    <w:rPr>
      <w:sz w:val="20"/>
      <w:szCs w:val="20"/>
    </w:rPr>
  </w:style>
  <w:style w:type="character" w:customStyle="1" w:styleId="AsuntodelcomentarioCar">
    <w:name w:val="Asunto del comentario Car"/>
    <w:basedOn w:val="TextocomentarioCar"/>
    <w:link w:val="Asuntodelcomentario"/>
    <w:uiPriority w:val="99"/>
    <w:semiHidden/>
    <w:qFormat/>
    <w:rsid w:val="00E807FF"/>
    <w:rPr>
      <w:b/>
      <w:bCs/>
      <w:sz w:val="20"/>
      <w:szCs w:val="20"/>
    </w:rPr>
  </w:style>
  <w:style w:type="character" w:customStyle="1" w:styleId="TextodegloboCar">
    <w:name w:val="Texto de globo Car"/>
    <w:basedOn w:val="Fuentedeprrafopredeter"/>
    <w:link w:val="Textodeglobo"/>
    <w:uiPriority w:val="99"/>
    <w:semiHidden/>
    <w:qFormat/>
    <w:rsid w:val="00E807FF"/>
    <w:rPr>
      <w:rFonts w:ascii="Segoe UI" w:hAnsi="Segoe UI" w:cs="Segoe UI"/>
      <w:sz w:val="18"/>
      <w:szCs w:val="18"/>
    </w:rPr>
  </w:style>
  <w:style w:type="character" w:customStyle="1" w:styleId="EncabezadoCar">
    <w:name w:val="Encabezado Car"/>
    <w:basedOn w:val="Fuentedeprrafopredeter"/>
    <w:link w:val="Encabezado"/>
    <w:uiPriority w:val="99"/>
    <w:qFormat/>
    <w:rsid w:val="00AE3683"/>
  </w:style>
  <w:style w:type="character" w:customStyle="1" w:styleId="PiedepginaCar">
    <w:name w:val="Pie de página Car"/>
    <w:basedOn w:val="Fuentedeprrafopredeter"/>
    <w:link w:val="Piedepgina"/>
    <w:uiPriority w:val="99"/>
    <w:qFormat/>
    <w:rsid w:val="00AE3683"/>
  </w:style>
  <w:style w:type="character" w:styleId="Mencinsinresolver">
    <w:name w:val="Unresolved Mention"/>
    <w:basedOn w:val="Fuentedeprrafopredeter"/>
    <w:uiPriority w:val="99"/>
    <w:semiHidden/>
    <w:unhideWhenUsed/>
    <w:qFormat/>
    <w:rsid w:val="00330498"/>
    <w:rPr>
      <w:color w:val="605E5C"/>
      <w:shd w:val="clear" w:color="auto" w:fill="E1DFDD"/>
    </w:rPr>
  </w:style>
  <w:style w:type="character" w:styleId="Hipervnculovisitado">
    <w:name w:val="FollowedHyperlink"/>
    <w:basedOn w:val="Fuentedeprrafopredeter"/>
    <w:rPr>
      <w:color w:val="96607D" w:themeColor="followedHyperlink"/>
      <w:u w:val="single"/>
    </w:rPr>
  </w:style>
  <w:style w:type="character" w:customStyle="1" w:styleId="Smbolosdenumeracin">
    <w:name w:val="Símbolos de numeración"/>
    <w:qFormat/>
  </w:style>
  <w:style w:type="character" w:customStyle="1" w:styleId="Bolos">
    <w:name w:val="Bolos"/>
    <w:qFormat/>
    <w:rPr>
      <w:rFonts w:ascii="OpenSymbol" w:eastAsia="OpenSymbol" w:hAnsi="OpenSymbol" w:cs="OpenSymbol"/>
    </w:rPr>
  </w:style>
  <w:style w:type="paragraph" w:styleId="Ttulo">
    <w:name w:val="Title"/>
    <w:basedOn w:val="Normal"/>
    <w:next w:val="Textoindependiente"/>
    <w:link w:val="TtuloCar"/>
    <w:uiPriority w:val="10"/>
    <w:qFormat/>
    <w:rsid w:val="0089680A"/>
    <w:pPr>
      <w:spacing w:after="80" w:line="240" w:lineRule="auto"/>
      <w:contextualSpacing/>
    </w:pPr>
    <w:rPr>
      <w:rFonts w:asciiTheme="majorHAnsi" w:eastAsiaTheme="majorEastAsia" w:hAnsiTheme="majorHAnsi" w:cstheme="majorBidi"/>
      <w:spacing w:val="-10"/>
      <w:sz w:val="56"/>
      <w:szCs w:val="56"/>
    </w:rPr>
  </w:style>
  <w:style w:type="paragraph" w:styleId="Textoindependiente">
    <w:name w:val="Body Text"/>
    <w:basedOn w:val="Normal"/>
    <w:pPr>
      <w:spacing w:after="140" w:line="276" w:lineRule="auto"/>
    </w:pPr>
  </w:style>
  <w:style w:type="paragraph" w:styleId="Lista">
    <w:name w:val="List"/>
    <w:basedOn w:val="Textoindependiente"/>
    <w:rPr>
      <w:rFonts w:cs="Lucida Sans"/>
    </w:rPr>
  </w:style>
  <w:style w:type="paragraph" w:styleId="Descripcin">
    <w:name w:val="caption"/>
    <w:basedOn w:val="Normal"/>
    <w:qFormat/>
    <w:pPr>
      <w:suppressLineNumbers/>
      <w:spacing w:before="120" w:after="120"/>
    </w:pPr>
    <w:rPr>
      <w:rFonts w:cs="Lucida Sans"/>
      <w:i/>
      <w:iCs/>
    </w:rPr>
  </w:style>
  <w:style w:type="paragraph" w:customStyle="1" w:styleId="ndice">
    <w:name w:val="Índice"/>
    <w:basedOn w:val="Normal"/>
    <w:qFormat/>
    <w:pPr>
      <w:suppressLineNumbers/>
    </w:pPr>
    <w:rPr>
      <w:rFonts w:cs="Lucida Sans"/>
    </w:rPr>
  </w:style>
  <w:style w:type="paragraph" w:customStyle="1" w:styleId="Ttulouser">
    <w:name w:val="Título (user)"/>
    <w:basedOn w:val="Normal"/>
    <w:next w:val="Textoindependiente"/>
    <w:qFormat/>
    <w:pPr>
      <w:keepNext/>
      <w:spacing w:before="240" w:after="120"/>
    </w:pPr>
    <w:rPr>
      <w:rFonts w:ascii="Liberation Sans" w:eastAsia="Microsoft YaHei" w:hAnsi="Liberation Sans" w:cs="Lucida Sans"/>
      <w:sz w:val="28"/>
      <w:szCs w:val="28"/>
    </w:rPr>
  </w:style>
  <w:style w:type="paragraph" w:customStyle="1" w:styleId="ndiceuser">
    <w:name w:val="Índice (user)"/>
    <w:basedOn w:val="Normal"/>
    <w:qFormat/>
    <w:pPr>
      <w:suppressLineNumbers/>
    </w:pPr>
    <w:rPr>
      <w:rFonts w:cs="Lucida Sans"/>
    </w:rPr>
  </w:style>
  <w:style w:type="paragraph" w:styleId="Subttulo">
    <w:name w:val="Subtitle"/>
    <w:basedOn w:val="Normal"/>
    <w:next w:val="Normal"/>
    <w:link w:val="SubttuloCar"/>
    <w:uiPriority w:val="11"/>
    <w:qFormat/>
    <w:rsid w:val="0089680A"/>
    <w:rPr>
      <w:rFonts w:eastAsiaTheme="majorEastAsia" w:cstheme="majorBidi"/>
      <w:color w:val="595959" w:themeColor="dark1" w:themeTint="A6"/>
      <w:spacing w:val="15"/>
      <w:sz w:val="28"/>
      <w:szCs w:val="28"/>
    </w:rPr>
  </w:style>
  <w:style w:type="paragraph" w:styleId="Cita">
    <w:name w:val="Quote"/>
    <w:basedOn w:val="Normal"/>
    <w:next w:val="Normal"/>
    <w:link w:val="CitaCar"/>
    <w:uiPriority w:val="29"/>
    <w:qFormat/>
    <w:rsid w:val="0089680A"/>
    <w:pPr>
      <w:spacing w:before="160"/>
      <w:jc w:val="center"/>
    </w:pPr>
    <w:rPr>
      <w:i/>
      <w:iCs/>
      <w:color w:val="404040" w:themeColor="dark1" w:themeTint="BF"/>
    </w:rPr>
  </w:style>
  <w:style w:type="paragraph" w:styleId="Prrafodelista">
    <w:name w:val="List Paragraph"/>
    <w:basedOn w:val="Normal"/>
    <w:uiPriority w:val="34"/>
    <w:qFormat/>
    <w:rsid w:val="0089680A"/>
    <w:pPr>
      <w:ind w:left="720"/>
      <w:contextualSpacing/>
    </w:pPr>
  </w:style>
  <w:style w:type="paragraph" w:styleId="Citadestacada">
    <w:name w:val="Intense Quote"/>
    <w:basedOn w:val="Normal"/>
    <w:next w:val="Normal"/>
    <w:link w:val="CitadestacadaCar"/>
    <w:uiPriority w:val="30"/>
    <w:qFormat/>
    <w:rsid w:val="008968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paragraph" w:styleId="HTMLconformatoprevio">
    <w:name w:val="HTML Preformatted"/>
    <w:basedOn w:val="Normal"/>
    <w:link w:val="HTMLconformatoprevioCar"/>
    <w:uiPriority w:val="99"/>
    <w:semiHidden/>
    <w:unhideWhenUsed/>
    <w:qFormat/>
    <w:rsid w:val="00DC3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val="es-MX" w:eastAsia="es-MX"/>
      <w14:ligatures w14:val="none"/>
    </w:rPr>
  </w:style>
  <w:style w:type="paragraph" w:customStyle="1" w:styleId="ds-markdown-paragraph">
    <w:name w:val="ds-markdown-paragraph"/>
    <w:basedOn w:val="Normal"/>
    <w:qFormat/>
    <w:rsid w:val="00312599"/>
    <w:pPr>
      <w:spacing w:beforeAutospacing="1" w:afterAutospacing="1" w:line="240" w:lineRule="auto"/>
    </w:pPr>
    <w:rPr>
      <w:rFonts w:ascii="Times New Roman" w:eastAsia="Times New Roman" w:hAnsi="Times New Roman" w:cs="Times New Roman"/>
      <w:kern w:val="0"/>
      <w:lang w:val="es-MX" w:eastAsia="es-MX"/>
      <w14:ligatures w14:val="none"/>
    </w:rPr>
  </w:style>
  <w:style w:type="paragraph" w:customStyle="1" w:styleId="ArticleFulltext">
    <w:name w:val="Article Fulltext"/>
    <w:basedOn w:val="Normal"/>
    <w:link w:val="ArticleFulltextCar"/>
    <w:qFormat/>
    <w:rsid w:val="00467F6A"/>
    <w:pPr>
      <w:widowControl w:val="0"/>
      <w:spacing w:after="120" w:line="240" w:lineRule="auto"/>
      <w:jc w:val="both"/>
    </w:pPr>
    <w:rPr>
      <w:rFonts w:ascii="Leelawadee" w:eastAsia="SimSun" w:hAnsi="Leelawadee" w:cs="Leelawadee"/>
      <w:kern w:val="0"/>
      <w:lang w:val="en-GB"/>
      <w14:ligatures w14:val="none"/>
    </w:rPr>
  </w:style>
  <w:style w:type="paragraph" w:styleId="Textocomentario">
    <w:name w:val="annotation text"/>
    <w:basedOn w:val="Normal"/>
    <w:link w:val="TextocomentarioCar"/>
    <w:uiPriority w:val="99"/>
    <w:semiHidden/>
    <w:unhideWhenUsed/>
    <w:rsid w:val="00E807FF"/>
    <w:pPr>
      <w:spacing w:line="240" w:lineRule="auto"/>
    </w:pPr>
    <w:rPr>
      <w:sz w:val="20"/>
      <w:szCs w:val="20"/>
    </w:rPr>
  </w:style>
  <w:style w:type="paragraph" w:styleId="Asuntodelcomentario">
    <w:name w:val="annotation subject"/>
    <w:basedOn w:val="Textocomentario"/>
    <w:next w:val="Textocomentario"/>
    <w:link w:val="AsuntodelcomentarioCar"/>
    <w:uiPriority w:val="99"/>
    <w:semiHidden/>
    <w:unhideWhenUsed/>
    <w:qFormat/>
    <w:rsid w:val="00E807FF"/>
    <w:rPr>
      <w:b/>
      <w:bCs/>
    </w:rPr>
  </w:style>
  <w:style w:type="paragraph" w:styleId="Textodeglobo">
    <w:name w:val="Balloon Text"/>
    <w:basedOn w:val="Normal"/>
    <w:link w:val="TextodegloboCar"/>
    <w:uiPriority w:val="99"/>
    <w:semiHidden/>
    <w:unhideWhenUsed/>
    <w:qFormat/>
    <w:rsid w:val="00E807FF"/>
    <w:pPr>
      <w:spacing w:after="0" w:line="240" w:lineRule="auto"/>
    </w:pPr>
    <w:rPr>
      <w:rFonts w:ascii="Segoe UI" w:hAnsi="Segoe UI" w:cs="Segoe UI"/>
      <w:sz w:val="18"/>
      <w:szCs w:val="18"/>
    </w:rPr>
  </w:style>
  <w:style w:type="paragraph" w:customStyle="1" w:styleId="Cabeceraypie">
    <w:name w:val="Cabecera y pie"/>
    <w:basedOn w:val="Normal"/>
    <w:qFormat/>
  </w:style>
  <w:style w:type="paragraph" w:customStyle="1" w:styleId="Cabeceraypieuser">
    <w:name w:val="Cabecera y pie (user)"/>
    <w:basedOn w:val="Normal"/>
    <w:qFormat/>
  </w:style>
  <w:style w:type="paragraph" w:styleId="Encabezado">
    <w:name w:val="header"/>
    <w:basedOn w:val="Normal"/>
    <w:link w:val="EncabezadoCar"/>
    <w:uiPriority w:val="99"/>
    <w:unhideWhenUsed/>
    <w:rsid w:val="00AE3683"/>
    <w:pPr>
      <w:tabs>
        <w:tab w:val="center" w:pos="4419"/>
        <w:tab w:val="right" w:pos="8838"/>
      </w:tabs>
      <w:spacing w:after="0" w:line="240" w:lineRule="auto"/>
    </w:pPr>
  </w:style>
  <w:style w:type="paragraph" w:styleId="Piedepgina">
    <w:name w:val="footer"/>
    <w:basedOn w:val="Normal"/>
    <w:link w:val="PiedepginaCar"/>
    <w:uiPriority w:val="99"/>
    <w:unhideWhenUsed/>
    <w:rsid w:val="00AE3683"/>
    <w:pPr>
      <w:tabs>
        <w:tab w:val="center" w:pos="4419"/>
        <w:tab w:val="right" w:pos="8838"/>
      </w:tabs>
      <w:spacing w:after="0" w:line="240" w:lineRule="auto"/>
    </w:pPr>
  </w:style>
  <w:style w:type="paragraph" w:customStyle="1" w:styleId="Contenidodelmarco">
    <w:name w:val="Contenido del marco"/>
    <w:basedOn w:val="Normal"/>
    <w:qFormat/>
  </w:style>
  <w:style w:type="numbering" w:customStyle="1" w:styleId="Ningunalistauser">
    <w:name w:val="Ninguna lista (user)"/>
    <w:uiPriority w:val="99"/>
    <w:semiHidden/>
    <w:unhideWhenUsed/>
    <w:qFormat/>
  </w:style>
  <w:style w:type="numbering" w:customStyle="1" w:styleId="Ningunalista">
    <w:name w:val="Ninguna lista"/>
    <w:uiPriority w:val="99"/>
    <w:semiHidden/>
    <w:unhideWhenUsed/>
    <w:qFormat/>
  </w:style>
  <w:style w:type="table" w:styleId="Tablaconcuadrcula">
    <w:name w:val="Table Grid"/>
    <w:basedOn w:val="Tablanormal"/>
    <w:uiPriority w:val="39"/>
    <w:rsid w:val="00B249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4-nfasis3">
    <w:name w:val="Grid Table 4 Accent 3"/>
    <w:basedOn w:val="Tablanormal"/>
    <w:uiPriority w:val="49"/>
    <w:rsid w:val="005D69B6"/>
    <w:rPr>
      <w:sz w:val="22"/>
      <w:szCs w:val="22"/>
      <w:lang w:val="es-ES"/>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Tablaconcuadrcula4-nfasis31">
    <w:name w:val="Tabla con cuadrícula 4 - Énfasis 31"/>
    <w:basedOn w:val="Tablanormal"/>
    <w:uiPriority w:val="49"/>
    <w:rsid w:val="00550757"/>
    <w:rPr>
      <w:lang w:val="es-CU"/>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concuadrcula1">
    <w:name w:val="Tabla con cuadrícula1"/>
    <w:basedOn w:val="Tablanormal"/>
    <w:uiPriority w:val="59"/>
    <w:rsid w:val="00D107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space.uclv.edu.cu/entities/orgunit/a53fa332-2ae8-4621-bafa-b78265009dec" TargetMode="External"/><Relationship Id="rId13" Type="http://schemas.openxmlformats.org/officeDocument/2006/relationships/hyperlink" Target="https://thechemgate.files.wordpress.com/2019/01/process-calculation-by-watson.pd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dianac@uclv.edu.cu" TargetMode="External"/><Relationship Id="rId12" Type="http://schemas.openxmlformats.org/officeDocument/2006/relationships/chart" Target="charts/chart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tlv.com/sites/default/files/tlv_assets/product_v2/pdf/archived-documents/l-gt10m-hp.pdf" TargetMode="External"/><Relationship Id="rId1" Type="http://schemas.openxmlformats.org/officeDocument/2006/relationships/customXml" Target="../customXml/item1.xml"/><Relationship Id="rId6" Type="http://schemas.openxmlformats.org/officeDocument/2006/relationships/hyperlink" Target="mailto:dianeya@uclv.edu.cu" TargetMode="Externa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hyperlink" Target="http://centroazucar.uclv.edu.cu/index.php/centro_azucar/article/view" TargetMode="Externa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repositorio.imta.mex/handle/20.500.12013/2186"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c:style val="2"/>
  <c:chart>
    <c:autoTitleDeleted val="1"/>
    <c:plotArea>
      <c:layout/>
      <c:barChart>
        <c:barDir val="col"/>
        <c:grouping val="clustered"/>
        <c:varyColors val="0"/>
        <c:ser>
          <c:idx val="0"/>
          <c:order val="0"/>
          <c:tx>
            <c:strRef>
              <c:f>label 0</c:f>
              <c:strCache>
                <c:ptCount val="1"/>
                <c:pt idx="0">
                  <c:v>Consumo real en el día</c:v>
                </c:pt>
              </c:strCache>
            </c:strRef>
          </c:tx>
          <c:spPr>
            <a:solidFill>
              <a:srgbClr val="E97132"/>
            </a:solidFill>
            <a:ln w="12600">
              <a:noFill/>
            </a:ln>
          </c:spPr>
          <c:invertIfNegative val="0"/>
          <c:dLbls>
            <c:numFmt formatCode="0" sourceLinked="0"/>
            <c:spPr>
              <a:noFill/>
              <a:ln>
                <a:noFill/>
              </a:ln>
              <a:effectLst/>
            </c:spPr>
            <c:txPr>
              <a:bodyPr wrap="square"/>
              <a:lstStyle/>
              <a:p>
                <a:pPr>
                  <a:defRPr sz="900" b="0" u="none" strike="noStrike">
                    <a:solidFill>
                      <a:srgbClr val="404040"/>
                    </a:solidFill>
                    <a:uFillTx/>
                    <a:latin typeface="Aptos"/>
                  </a:defRPr>
                </a:pPr>
                <a:endParaRPr lang="es-ES"/>
              </a:p>
            </c:txPr>
            <c:dLblPos val="outEnd"/>
            <c:showLegendKey val="0"/>
            <c:showVal val="1"/>
            <c:showCatName val="0"/>
            <c:showSerName val="0"/>
            <c:showPercent val="0"/>
            <c:showBubbleSize val="1"/>
            <c:separator>; </c:separator>
            <c:showLeaderLines val="0"/>
            <c:extLst>
              <c:ext xmlns:c15="http://schemas.microsoft.com/office/drawing/2012/chart" uri="{CE6537A1-D6FC-4f65-9D91-7224C49458BB}">
                <c15:showLeaderLines val="1"/>
                <c15:leaderLines>
                  <c:spPr>
                    <a:ln w="0">
                      <a:solidFill>
                        <a:srgbClr val="000000"/>
                      </a:solidFill>
                    </a:ln>
                  </c:spPr>
                </c15:leaderLines>
              </c:ext>
            </c:extLst>
          </c:dLbls>
          <c:cat>
            <c:strRef>
              <c:f>categories</c:f>
              <c:strCache>
                <c:ptCount val="1"/>
              </c:strCache>
            </c:strRef>
          </c:cat>
          <c:val>
            <c:numRef>
              <c:f>0</c:f>
              <c:numCache>
                <c:formatCode>General</c:formatCode>
                <c:ptCount val="1"/>
                <c:pt idx="0">
                  <c:v>266</c:v>
                </c:pt>
              </c:numCache>
            </c:numRef>
          </c:val>
          <c:extLst>
            <c:ext xmlns:c16="http://schemas.microsoft.com/office/drawing/2014/chart" uri="{C3380CC4-5D6E-409C-BE32-E72D297353CC}">
              <c16:uniqueId val="{00000000-B313-428E-94DE-6F4AA8B9EECE}"/>
            </c:ext>
          </c:extLst>
        </c:ser>
        <c:ser>
          <c:idx val="1"/>
          <c:order val="1"/>
          <c:tx>
            <c:strRef>
              <c:f>label 1</c:f>
              <c:strCache>
                <c:ptCount val="1"/>
                <c:pt idx="0">
                  <c:v>Consumo máximo en el dia</c:v>
                </c:pt>
              </c:strCache>
            </c:strRef>
          </c:tx>
          <c:spPr>
            <a:solidFill>
              <a:srgbClr val="156082"/>
            </a:solidFill>
            <a:ln w="12600">
              <a:noFill/>
            </a:ln>
          </c:spPr>
          <c:invertIfNegative val="0"/>
          <c:dLbls>
            <c:numFmt formatCode="0" sourceLinked="0"/>
            <c:spPr>
              <a:noFill/>
              <a:ln>
                <a:noFill/>
              </a:ln>
              <a:effectLst/>
            </c:spPr>
            <c:txPr>
              <a:bodyPr wrap="square"/>
              <a:lstStyle/>
              <a:p>
                <a:pPr>
                  <a:defRPr sz="900" b="0" u="none" strike="noStrike">
                    <a:solidFill>
                      <a:srgbClr val="404040"/>
                    </a:solidFill>
                    <a:uFillTx/>
                    <a:latin typeface="Aptos"/>
                  </a:defRPr>
                </a:pPr>
                <a:endParaRPr lang="es-ES"/>
              </a:p>
            </c:txPr>
            <c:dLblPos val="outEnd"/>
            <c:showLegendKey val="0"/>
            <c:showVal val="1"/>
            <c:showCatName val="0"/>
            <c:showSerName val="0"/>
            <c:showPercent val="0"/>
            <c:showBubbleSize val="1"/>
            <c:separator>; </c:separator>
            <c:showLeaderLines val="0"/>
            <c:extLst>
              <c:ext xmlns:c15="http://schemas.microsoft.com/office/drawing/2012/chart" uri="{CE6537A1-D6FC-4f65-9D91-7224C49458BB}">
                <c15:showLeaderLines val="1"/>
                <c15:leaderLines>
                  <c:spPr>
                    <a:ln w="0">
                      <a:solidFill>
                        <a:srgbClr val="000000"/>
                      </a:solidFill>
                    </a:ln>
                  </c:spPr>
                </c15:leaderLines>
              </c:ext>
            </c:extLst>
          </c:dLbls>
          <c:cat>
            <c:strRef>
              <c:f>categories</c:f>
              <c:strCache>
                <c:ptCount val="1"/>
              </c:strCache>
            </c:strRef>
          </c:cat>
          <c:val>
            <c:numRef>
              <c:f>1</c:f>
              <c:numCache>
                <c:formatCode>General</c:formatCode>
                <c:ptCount val="1"/>
                <c:pt idx="0">
                  <c:v>790</c:v>
                </c:pt>
              </c:numCache>
            </c:numRef>
          </c:val>
          <c:extLst>
            <c:ext xmlns:c16="http://schemas.microsoft.com/office/drawing/2014/chart" uri="{C3380CC4-5D6E-409C-BE32-E72D297353CC}">
              <c16:uniqueId val="{00000001-B313-428E-94DE-6F4AA8B9EECE}"/>
            </c:ext>
          </c:extLst>
        </c:ser>
        <c:ser>
          <c:idx val="2"/>
          <c:order val="2"/>
          <c:tx>
            <c:strRef>
              <c:f>label 2</c:f>
              <c:strCache>
                <c:ptCount val="1"/>
                <c:pt idx="0">
                  <c:v>Consumo máximo con ahorro en el día</c:v>
                </c:pt>
              </c:strCache>
            </c:strRef>
          </c:tx>
          <c:spPr>
            <a:solidFill>
              <a:srgbClr val="196B24"/>
            </a:solidFill>
            <a:ln w="12600">
              <a:noFill/>
            </a:ln>
          </c:spPr>
          <c:invertIfNegative val="0"/>
          <c:dLbls>
            <c:numFmt formatCode="0" sourceLinked="0"/>
            <c:spPr>
              <a:noFill/>
              <a:ln>
                <a:noFill/>
              </a:ln>
              <a:effectLst/>
            </c:spPr>
            <c:txPr>
              <a:bodyPr wrap="square"/>
              <a:lstStyle/>
              <a:p>
                <a:pPr>
                  <a:defRPr sz="900" b="0" u="none" strike="noStrike">
                    <a:solidFill>
                      <a:srgbClr val="404040"/>
                    </a:solidFill>
                    <a:uFillTx/>
                    <a:latin typeface="Aptos"/>
                  </a:defRPr>
                </a:pPr>
                <a:endParaRPr lang="es-ES"/>
              </a:p>
            </c:txPr>
            <c:dLblPos val="outEnd"/>
            <c:showLegendKey val="0"/>
            <c:showVal val="1"/>
            <c:showCatName val="0"/>
            <c:showSerName val="0"/>
            <c:showPercent val="0"/>
            <c:showBubbleSize val="1"/>
            <c:separator>; </c:separator>
            <c:showLeaderLines val="0"/>
            <c:extLst>
              <c:ext xmlns:c15="http://schemas.microsoft.com/office/drawing/2012/chart" uri="{CE6537A1-D6FC-4f65-9D91-7224C49458BB}">
                <c15:showLeaderLines val="1"/>
                <c15:leaderLines>
                  <c:spPr>
                    <a:ln w="0">
                      <a:solidFill>
                        <a:srgbClr val="000000"/>
                      </a:solidFill>
                    </a:ln>
                  </c:spPr>
                </c15:leaderLines>
              </c:ext>
            </c:extLst>
          </c:dLbls>
          <c:cat>
            <c:strRef>
              <c:f>categories</c:f>
              <c:strCache>
                <c:ptCount val="1"/>
              </c:strCache>
            </c:strRef>
          </c:cat>
          <c:val>
            <c:numRef>
              <c:f>2</c:f>
              <c:numCache>
                <c:formatCode>General</c:formatCode>
                <c:ptCount val="1"/>
                <c:pt idx="0">
                  <c:v>642.70000000000005</c:v>
                </c:pt>
              </c:numCache>
            </c:numRef>
          </c:val>
          <c:extLst>
            <c:ext xmlns:c16="http://schemas.microsoft.com/office/drawing/2014/chart" uri="{C3380CC4-5D6E-409C-BE32-E72D297353CC}">
              <c16:uniqueId val="{00000002-B313-428E-94DE-6F4AA8B9EECE}"/>
            </c:ext>
          </c:extLst>
        </c:ser>
        <c:ser>
          <c:idx val="3"/>
          <c:order val="3"/>
          <c:tx>
            <c:strRef>
              <c:f>label 3</c:f>
              <c:strCache>
                <c:ptCount val="1"/>
                <c:pt idx="0">
                  <c:v>Cisterna reserva y almacenamiento</c:v>
                </c:pt>
              </c:strCache>
            </c:strRef>
          </c:tx>
          <c:spPr>
            <a:solidFill>
              <a:srgbClr val="0F9ED5"/>
            </a:solidFill>
            <a:ln w="12600">
              <a:noFill/>
            </a:ln>
          </c:spPr>
          <c:invertIfNegative val="0"/>
          <c:dLbls>
            <c:numFmt formatCode="General" sourceLinked="0"/>
            <c:spPr>
              <a:noFill/>
              <a:ln>
                <a:noFill/>
              </a:ln>
              <a:effectLst/>
            </c:spPr>
            <c:txPr>
              <a:bodyPr wrap="square"/>
              <a:lstStyle/>
              <a:p>
                <a:pPr>
                  <a:defRPr sz="900" b="0" u="none" strike="noStrike">
                    <a:solidFill>
                      <a:srgbClr val="404040"/>
                    </a:solidFill>
                    <a:uFillTx/>
                    <a:latin typeface="Aptos"/>
                  </a:defRPr>
                </a:pPr>
                <a:endParaRPr lang="es-ES"/>
              </a:p>
            </c:txPr>
            <c:dLblPos val="outEnd"/>
            <c:showLegendKey val="0"/>
            <c:showVal val="1"/>
            <c:showCatName val="0"/>
            <c:showSerName val="0"/>
            <c:showPercent val="0"/>
            <c:showBubbleSize val="1"/>
            <c:separator>; </c:separator>
            <c:showLeaderLines val="0"/>
            <c:extLst>
              <c:ext xmlns:c15="http://schemas.microsoft.com/office/drawing/2012/chart" uri="{CE6537A1-D6FC-4f65-9D91-7224C49458BB}">
                <c15:showLeaderLines val="1"/>
                <c15:leaderLines>
                  <c:spPr>
                    <a:ln w="0">
                      <a:solidFill>
                        <a:srgbClr val="000000"/>
                      </a:solidFill>
                    </a:ln>
                  </c:spPr>
                </c15:leaderLines>
              </c:ext>
            </c:extLst>
          </c:dLbls>
          <c:cat>
            <c:strRef>
              <c:f>categories</c:f>
              <c:strCache>
                <c:ptCount val="1"/>
              </c:strCache>
            </c:strRef>
          </c:cat>
          <c:val>
            <c:numRef>
              <c:f>3</c:f>
              <c:numCache>
                <c:formatCode>General</c:formatCode>
                <c:ptCount val="1"/>
                <c:pt idx="0">
                  <c:v>840</c:v>
                </c:pt>
              </c:numCache>
            </c:numRef>
          </c:val>
          <c:extLst>
            <c:ext xmlns:c16="http://schemas.microsoft.com/office/drawing/2014/chart" uri="{C3380CC4-5D6E-409C-BE32-E72D297353CC}">
              <c16:uniqueId val="{00000003-B313-428E-94DE-6F4AA8B9EECE}"/>
            </c:ext>
          </c:extLst>
        </c:ser>
        <c:ser>
          <c:idx val="4"/>
          <c:order val="4"/>
          <c:tx>
            <c:strRef>
              <c:f>label 4</c:f>
              <c:strCache>
                <c:ptCount val="1"/>
                <c:pt idx="0">
                  <c:v>Abasto promedio diario</c:v>
                </c:pt>
              </c:strCache>
            </c:strRef>
          </c:tx>
          <c:spPr>
            <a:solidFill>
              <a:srgbClr val="A02B93"/>
            </a:solidFill>
            <a:ln w="12600">
              <a:noFill/>
            </a:ln>
          </c:spPr>
          <c:invertIfNegative val="0"/>
          <c:dLbls>
            <c:numFmt formatCode="0" sourceLinked="0"/>
            <c:spPr>
              <a:noFill/>
              <a:ln>
                <a:noFill/>
              </a:ln>
              <a:effectLst/>
            </c:spPr>
            <c:txPr>
              <a:bodyPr wrap="square"/>
              <a:lstStyle/>
              <a:p>
                <a:pPr>
                  <a:defRPr sz="900" b="0" u="none" strike="noStrike">
                    <a:solidFill>
                      <a:srgbClr val="404040"/>
                    </a:solidFill>
                    <a:uFillTx/>
                    <a:latin typeface="Aptos"/>
                  </a:defRPr>
                </a:pPr>
                <a:endParaRPr lang="es-ES"/>
              </a:p>
            </c:txPr>
            <c:dLblPos val="outEnd"/>
            <c:showLegendKey val="0"/>
            <c:showVal val="1"/>
            <c:showCatName val="0"/>
            <c:showSerName val="0"/>
            <c:showPercent val="0"/>
            <c:showBubbleSize val="1"/>
            <c:separator>; </c:separator>
            <c:showLeaderLines val="0"/>
            <c:extLst>
              <c:ext xmlns:c15="http://schemas.microsoft.com/office/drawing/2012/chart" uri="{CE6537A1-D6FC-4f65-9D91-7224C49458BB}">
                <c15:showLeaderLines val="1"/>
                <c15:leaderLines>
                  <c:spPr>
                    <a:ln w="0">
                      <a:solidFill>
                        <a:srgbClr val="000000"/>
                      </a:solidFill>
                    </a:ln>
                  </c:spPr>
                </c15:leaderLines>
              </c:ext>
            </c:extLst>
          </c:dLbls>
          <c:cat>
            <c:strRef>
              <c:f>categories</c:f>
              <c:strCache>
                <c:ptCount val="1"/>
              </c:strCache>
            </c:strRef>
          </c:cat>
          <c:val>
            <c:numRef>
              <c:f>4</c:f>
              <c:numCache>
                <c:formatCode>General</c:formatCode>
                <c:ptCount val="1"/>
                <c:pt idx="0">
                  <c:v>241.6</c:v>
                </c:pt>
              </c:numCache>
            </c:numRef>
          </c:val>
          <c:extLst>
            <c:ext xmlns:c16="http://schemas.microsoft.com/office/drawing/2014/chart" uri="{C3380CC4-5D6E-409C-BE32-E72D297353CC}">
              <c16:uniqueId val="{00000004-B313-428E-94DE-6F4AA8B9EECE}"/>
            </c:ext>
          </c:extLst>
        </c:ser>
        <c:dLbls>
          <c:showLegendKey val="0"/>
          <c:showVal val="0"/>
          <c:showCatName val="0"/>
          <c:showSerName val="0"/>
          <c:showPercent val="0"/>
          <c:showBubbleSize val="0"/>
        </c:dLbls>
        <c:gapWidth val="150"/>
        <c:axId val="73559072"/>
        <c:axId val="58186260"/>
      </c:barChart>
      <c:catAx>
        <c:axId val="73559072"/>
        <c:scaling>
          <c:orientation val="minMax"/>
        </c:scaling>
        <c:delete val="1"/>
        <c:axPos val="b"/>
        <c:numFmt formatCode="General" sourceLinked="1"/>
        <c:majorTickMark val="out"/>
        <c:minorTickMark val="none"/>
        <c:tickLblPos val="nextTo"/>
        <c:crossAx val="58186260"/>
        <c:crosses val="autoZero"/>
        <c:auto val="1"/>
        <c:lblAlgn val="ctr"/>
        <c:lblOffset val="100"/>
        <c:noMultiLvlLbl val="0"/>
      </c:catAx>
      <c:valAx>
        <c:axId val="58186260"/>
        <c:scaling>
          <c:orientation val="minMax"/>
        </c:scaling>
        <c:delete val="0"/>
        <c:axPos val="l"/>
        <c:majorGridlines>
          <c:spPr>
            <a:ln w="9360">
              <a:solidFill>
                <a:srgbClr val="D9D9D9"/>
              </a:solidFill>
              <a:round/>
            </a:ln>
          </c:spPr>
        </c:majorGridlines>
        <c:title>
          <c:tx>
            <c:rich>
              <a:bodyPr rot="-5400000"/>
              <a:lstStyle/>
              <a:p>
                <a:pPr>
                  <a:defRPr sz="1300" b="0" u="none" strike="noStrike">
                    <a:uFillTx/>
                    <a:latin typeface="Arial"/>
                  </a:defRPr>
                </a:pPr>
                <a:r>
                  <a:rPr lang="es-ES" sz="1000" b="0" u="none" strike="noStrike">
                    <a:solidFill>
                      <a:schemeClr val="tx1">
                        <a:lumMod val="65000"/>
                        <a:lumOff val="35000"/>
                      </a:schemeClr>
                    </a:solidFill>
                    <a:uFillTx/>
                    <a:latin typeface="Aptos"/>
                  </a:rPr>
                  <a:t>Volumen (m3)</a:t>
                </a:r>
              </a:p>
            </c:rich>
          </c:tx>
          <c:overlay val="0"/>
          <c:spPr>
            <a:noFill/>
            <a:ln w="0">
              <a:noFill/>
            </a:ln>
          </c:spPr>
        </c:title>
        <c:numFmt formatCode="0" sourceLinked="0"/>
        <c:majorTickMark val="none"/>
        <c:minorTickMark val="none"/>
        <c:tickLblPos val="nextTo"/>
        <c:spPr>
          <a:ln w="6480">
            <a:noFill/>
          </a:ln>
        </c:spPr>
        <c:txPr>
          <a:bodyPr/>
          <a:lstStyle/>
          <a:p>
            <a:pPr>
              <a:defRPr sz="900" b="0" u="none" strike="noStrike">
                <a:solidFill>
                  <a:srgbClr val="595959"/>
                </a:solidFill>
                <a:uFillTx/>
                <a:latin typeface="Aptos"/>
              </a:defRPr>
            </a:pPr>
            <a:endParaRPr lang="es-ES"/>
          </a:p>
        </c:txPr>
        <c:crossAx val="73559072"/>
        <c:crosses val="autoZero"/>
        <c:crossBetween val="between"/>
      </c:valAx>
      <c:spPr>
        <a:noFill/>
        <a:ln w="0">
          <a:noFill/>
        </a:ln>
      </c:spPr>
    </c:plotArea>
    <c:legend>
      <c:legendPos val="r"/>
      <c:overlay val="0"/>
      <c:spPr>
        <a:noFill/>
        <a:ln w="0">
          <a:noFill/>
        </a:ln>
      </c:spPr>
      <c:txPr>
        <a:bodyPr/>
        <a:lstStyle/>
        <a:p>
          <a:pPr>
            <a:defRPr sz="900" b="0" u="none" strike="noStrike">
              <a:solidFill>
                <a:srgbClr val="595959"/>
              </a:solidFill>
              <a:uFillTx/>
              <a:latin typeface="Aptos"/>
            </a:defRPr>
          </a:pPr>
          <a:endParaRPr lang="es-ES"/>
        </a:p>
      </c:txPr>
    </c:legend>
    <c:plotVisOnly val="1"/>
    <c:dispBlanksAs val="gap"/>
    <c:showDLblsOverMax val="1"/>
  </c:chart>
  <c:spPr>
    <a:solidFill>
      <a:srgbClr val="FFFFFF"/>
    </a:solidFill>
    <a:ln w="9360">
      <a:solidFill>
        <a:srgbClr val="D9D9D9"/>
      </a:solidFill>
      <a:round/>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c:style val="2"/>
  <c:chart>
    <c:title>
      <c:tx>
        <c:rich>
          <a:bodyPr rot="0"/>
          <a:lstStyle/>
          <a:p>
            <a:pPr>
              <a:defRPr sz="1300" b="0" u="none" strike="noStrike">
                <a:uFillTx/>
                <a:latin typeface="Arial"/>
              </a:defRPr>
            </a:pPr>
            <a:r>
              <a:rPr lang="es-ES" sz="1400" b="0" u="none" strike="noStrike">
                <a:solidFill>
                  <a:schemeClr val="tx1">
                    <a:lumMod val="65000"/>
                    <a:lumOff val="35000"/>
                  </a:schemeClr>
                </a:solidFill>
                <a:uFillTx/>
                <a:latin typeface="Calibri"/>
              </a:rPr>
              <a:t>Ahorros Producidos (USD/año)</a:t>
            </a:r>
          </a:p>
        </c:rich>
      </c:tx>
      <c:overlay val="0"/>
      <c:spPr>
        <a:noFill/>
        <a:ln w="0">
          <a:noFill/>
        </a:ln>
      </c:spPr>
    </c:title>
    <c:autoTitleDeleted val="0"/>
    <c:plotArea>
      <c:layout/>
      <c:barChart>
        <c:barDir val="col"/>
        <c:grouping val="clustered"/>
        <c:varyColors val="0"/>
        <c:ser>
          <c:idx val="0"/>
          <c:order val="0"/>
          <c:tx>
            <c:strRef>
              <c:f>label 0</c:f>
              <c:strCache>
                <c:ptCount val="1"/>
                <c:pt idx="0">
                  <c:v>Ahorro en el consumo de agua(USD/año)</c:v>
                </c:pt>
              </c:strCache>
            </c:strRef>
          </c:tx>
          <c:spPr>
            <a:solidFill>
              <a:srgbClr val="5B9BD5"/>
            </a:solidFill>
            <a:ln w="12600">
              <a:noFill/>
            </a:ln>
          </c:spPr>
          <c:invertIfNegative val="0"/>
          <c:dLbls>
            <c:spPr>
              <a:noFill/>
              <a:ln>
                <a:noFill/>
              </a:ln>
              <a:effectLst/>
            </c:spPr>
            <c:txPr>
              <a:bodyPr wrap="square"/>
              <a:lstStyle/>
              <a:p>
                <a:pPr>
                  <a:defRPr sz="1000" b="0" u="none" strike="noStrike">
                    <a:solidFill>
                      <a:srgbClr val="000000"/>
                    </a:solidFill>
                    <a:uFillTx/>
                    <a:latin typeface="Calibri"/>
                  </a:defRPr>
                </a:pPr>
                <a:endParaRPr lang="es-ES"/>
              </a:p>
            </c:txPr>
            <c:dLblPos val="outEnd"/>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15:leaderLines>
                  <c:spPr>
                    <a:ln w="0">
                      <a:solidFill>
                        <a:srgbClr val="000000"/>
                      </a:solidFill>
                    </a:ln>
                  </c:spPr>
                </c15:leaderLines>
              </c:ext>
            </c:extLst>
          </c:dLbls>
          <c:cat>
            <c:strRef>
              <c:f>categories</c:f>
              <c:strCache>
                <c:ptCount val="6"/>
                <c:pt idx="0">
                  <c:v>Pasteurización de la Leche</c:v>
                </c:pt>
                <c:pt idx="1">
                  <c:v>Producción de Yogurt de soya</c:v>
                </c:pt>
                <c:pt idx="2">
                  <c:v>Producción de Queso</c:v>
                </c:pt>
                <c:pt idx="3">
                  <c:v>Producción de Helado</c:v>
                </c:pt>
                <c:pt idx="4">
                  <c:v>Agua de Limpieza</c:v>
                </c:pt>
                <c:pt idx="5">
                  <c:v>Total</c:v>
                </c:pt>
              </c:strCache>
            </c:strRef>
          </c:cat>
          <c:val>
            <c:numRef>
              <c:f>0</c:f>
              <c:numCache>
                <c:formatCode>General</c:formatCode>
                <c:ptCount val="6"/>
                <c:pt idx="0">
                  <c:v>476.16191489361699</c:v>
                </c:pt>
                <c:pt idx="1">
                  <c:v>234.66393617021299</c:v>
                </c:pt>
                <c:pt idx="2">
                  <c:v>34.170212765957402</c:v>
                </c:pt>
                <c:pt idx="3">
                  <c:v>86.023510638297793</c:v>
                </c:pt>
                <c:pt idx="4">
                  <c:v>427.29851063829801</c:v>
                </c:pt>
                <c:pt idx="5">
                  <c:v>1258.3180851063801</c:v>
                </c:pt>
              </c:numCache>
            </c:numRef>
          </c:val>
          <c:extLst>
            <c:ext xmlns:c16="http://schemas.microsoft.com/office/drawing/2014/chart" uri="{C3380CC4-5D6E-409C-BE32-E72D297353CC}">
              <c16:uniqueId val="{00000000-F301-4A7D-A809-78CAF4775F6C}"/>
            </c:ext>
          </c:extLst>
        </c:ser>
        <c:ser>
          <c:idx val="1"/>
          <c:order val="1"/>
          <c:tx>
            <c:strRef>
              <c:f>label 1</c:f>
              <c:strCache>
                <c:ptCount val="1"/>
                <c:pt idx="0">
                  <c:v>Ahorro en la energía recuperada (USD/año)</c:v>
                </c:pt>
              </c:strCache>
            </c:strRef>
          </c:tx>
          <c:spPr>
            <a:solidFill>
              <a:srgbClr val="A5A5A5"/>
            </a:solidFill>
            <a:ln w="12600">
              <a:noFill/>
            </a:ln>
          </c:spPr>
          <c:invertIfNegative val="0"/>
          <c:dLbls>
            <c:spPr>
              <a:noFill/>
              <a:ln>
                <a:noFill/>
              </a:ln>
              <a:effectLst/>
            </c:spPr>
            <c:txPr>
              <a:bodyPr wrap="square"/>
              <a:lstStyle/>
              <a:p>
                <a:pPr>
                  <a:defRPr sz="1000" b="0" u="none" strike="noStrike">
                    <a:solidFill>
                      <a:srgbClr val="000000"/>
                    </a:solidFill>
                    <a:uFillTx/>
                    <a:latin typeface="Calibri"/>
                  </a:defRPr>
                </a:pPr>
                <a:endParaRPr lang="es-ES"/>
              </a:p>
            </c:txPr>
            <c:dLblPos val="outEnd"/>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15:leaderLines>
                  <c:spPr>
                    <a:ln w="0">
                      <a:solidFill>
                        <a:srgbClr val="000000"/>
                      </a:solidFill>
                    </a:ln>
                  </c:spPr>
                </c15:leaderLines>
              </c:ext>
            </c:extLst>
          </c:dLbls>
          <c:cat>
            <c:strRef>
              <c:f>categories</c:f>
              <c:strCache>
                <c:ptCount val="6"/>
                <c:pt idx="0">
                  <c:v>Pasteurización de la Leche</c:v>
                </c:pt>
                <c:pt idx="1">
                  <c:v>Producción de Yogurt de soya</c:v>
                </c:pt>
                <c:pt idx="2">
                  <c:v>Producción de Queso</c:v>
                </c:pt>
                <c:pt idx="3">
                  <c:v>Producción de Helado</c:v>
                </c:pt>
                <c:pt idx="4">
                  <c:v>Agua de Limpieza</c:v>
                </c:pt>
                <c:pt idx="5">
                  <c:v>Total</c:v>
                </c:pt>
              </c:strCache>
            </c:strRef>
          </c:cat>
          <c:val>
            <c:numRef>
              <c:f>1</c:f>
              <c:numCache>
                <c:formatCode>General</c:formatCode>
                <c:ptCount val="6"/>
                <c:pt idx="0">
                  <c:v>10897.858723404301</c:v>
                </c:pt>
                <c:pt idx="1">
                  <c:v>5828.4643404255303</c:v>
                </c:pt>
                <c:pt idx="2">
                  <c:v>2752.4834042553198</c:v>
                </c:pt>
                <c:pt idx="3">
                  <c:v>2545.4297872340398</c:v>
                </c:pt>
                <c:pt idx="5">
                  <c:v>22024.2362553192</c:v>
                </c:pt>
              </c:numCache>
            </c:numRef>
          </c:val>
          <c:extLst>
            <c:ext xmlns:c16="http://schemas.microsoft.com/office/drawing/2014/chart" uri="{C3380CC4-5D6E-409C-BE32-E72D297353CC}">
              <c16:uniqueId val="{00000001-F301-4A7D-A809-78CAF4775F6C}"/>
            </c:ext>
          </c:extLst>
        </c:ser>
        <c:ser>
          <c:idx val="2"/>
          <c:order val="2"/>
          <c:tx>
            <c:strRef>
              <c:f>label 2</c:f>
              <c:strCache>
                <c:ptCount val="1"/>
                <c:pt idx="0">
                  <c:v>Ahorro de combustible (USD/año)</c:v>
                </c:pt>
              </c:strCache>
            </c:strRef>
          </c:tx>
          <c:spPr>
            <a:solidFill>
              <a:srgbClr val="264478"/>
            </a:solidFill>
            <a:ln w="12600">
              <a:noFill/>
            </a:ln>
          </c:spPr>
          <c:invertIfNegative val="0"/>
          <c:dLbls>
            <c:spPr>
              <a:noFill/>
              <a:ln>
                <a:noFill/>
              </a:ln>
              <a:effectLst/>
            </c:spPr>
            <c:txPr>
              <a:bodyPr wrap="square"/>
              <a:lstStyle/>
              <a:p>
                <a:pPr>
                  <a:defRPr sz="1000" b="0" u="none" strike="noStrike">
                    <a:solidFill>
                      <a:srgbClr val="000000"/>
                    </a:solidFill>
                    <a:uFillTx/>
                    <a:latin typeface="Calibri"/>
                  </a:defRPr>
                </a:pPr>
                <a:endParaRPr lang="es-ES"/>
              </a:p>
            </c:txPr>
            <c:dLblPos val="outEnd"/>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15:leaderLines>
                  <c:spPr>
                    <a:ln w="0">
                      <a:solidFill>
                        <a:srgbClr val="000000"/>
                      </a:solidFill>
                    </a:ln>
                  </c:spPr>
                </c15:leaderLines>
              </c:ext>
            </c:extLst>
          </c:dLbls>
          <c:cat>
            <c:strRef>
              <c:f>categories</c:f>
              <c:strCache>
                <c:ptCount val="6"/>
                <c:pt idx="0">
                  <c:v>Pasteurización de la Leche</c:v>
                </c:pt>
                <c:pt idx="1">
                  <c:v>Producción de Yogurt de soya</c:v>
                </c:pt>
                <c:pt idx="2">
                  <c:v>Producción de Queso</c:v>
                </c:pt>
                <c:pt idx="3">
                  <c:v>Producción de Helado</c:v>
                </c:pt>
                <c:pt idx="4">
                  <c:v>Agua de Limpieza</c:v>
                </c:pt>
                <c:pt idx="5">
                  <c:v>Total</c:v>
                </c:pt>
              </c:strCache>
            </c:strRef>
          </c:cat>
          <c:val>
            <c:numRef>
              <c:f>2</c:f>
              <c:numCache>
                <c:formatCode>General</c:formatCode>
                <c:ptCount val="6"/>
                <c:pt idx="0">
                  <c:v>2790.3102127659599</c:v>
                </c:pt>
                <c:pt idx="1">
                  <c:v>1492.2689361702101</c:v>
                </c:pt>
                <c:pt idx="2">
                  <c:v>704.84936170212802</c:v>
                </c:pt>
                <c:pt idx="3">
                  <c:v>651.74170212766001</c:v>
                </c:pt>
                <c:pt idx="5">
                  <c:v>5639.1702127659601</c:v>
                </c:pt>
              </c:numCache>
            </c:numRef>
          </c:val>
          <c:extLst>
            <c:ext xmlns:c16="http://schemas.microsoft.com/office/drawing/2014/chart" uri="{C3380CC4-5D6E-409C-BE32-E72D297353CC}">
              <c16:uniqueId val="{00000002-F301-4A7D-A809-78CAF4775F6C}"/>
            </c:ext>
          </c:extLst>
        </c:ser>
        <c:ser>
          <c:idx val="3"/>
          <c:order val="3"/>
          <c:tx>
            <c:strRef>
              <c:f>label 3</c:f>
              <c:strCache>
                <c:ptCount val="1"/>
                <c:pt idx="0">
                  <c:v>Ahorro Total (USD/año)</c:v>
                </c:pt>
              </c:strCache>
            </c:strRef>
          </c:tx>
          <c:spPr>
            <a:solidFill>
              <a:srgbClr val="636363"/>
            </a:solidFill>
            <a:ln w="12600">
              <a:noFill/>
            </a:ln>
          </c:spPr>
          <c:invertIfNegative val="0"/>
          <c:dPt>
            <c:idx val="0"/>
            <c:invertIfNegative val="0"/>
            <c:bubble3D val="0"/>
            <c:extLst>
              <c:ext xmlns:c16="http://schemas.microsoft.com/office/drawing/2014/chart" uri="{C3380CC4-5D6E-409C-BE32-E72D297353CC}">
                <c16:uniqueId val="{00000004-F301-4A7D-A809-78CAF4775F6C}"/>
              </c:ext>
            </c:extLst>
          </c:dPt>
          <c:dPt>
            <c:idx val="1"/>
            <c:invertIfNegative val="0"/>
            <c:bubble3D val="0"/>
            <c:extLst>
              <c:ext xmlns:c16="http://schemas.microsoft.com/office/drawing/2014/chart" uri="{C3380CC4-5D6E-409C-BE32-E72D297353CC}">
                <c16:uniqueId val="{00000006-F301-4A7D-A809-78CAF4775F6C}"/>
              </c:ext>
            </c:extLst>
          </c:dPt>
          <c:dPt>
            <c:idx val="2"/>
            <c:invertIfNegative val="0"/>
            <c:bubble3D val="0"/>
            <c:extLst>
              <c:ext xmlns:c16="http://schemas.microsoft.com/office/drawing/2014/chart" uri="{C3380CC4-5D6E-409C-BE32-E72D297353CC}">
                <c16:uniqueId val="{00000008-F301-4A7D-A809-78CAF4775F6C}"/>
              </c:ext>
            </c:extLst>
          </c:dPt>
          <c:dPt>
            <c:idx val="3"/>
            <c:invertIfNegative val="0"/>
            <c:bubble3D val="0"/>
            <c:extLst>
              <c:ext xmlns:c16="http://schemas.microsoft.com/office/drawing/2014/chart" uri="{C3380CC4-5D6E-409C-BE32-E72D297353CC}">
                <c16:uniqueId val="{0000000A-F301-4A7D-A809-78CAF4775F6C}"/>
              </c:ext>
            </c:extLst>
          </c:dPt>
          <c:dPt>
            <c:idx val="5"/>
            <c:invertIfNegative val="0"/>
            <c:bubble3D val="0"/>
            <c:extLst>
              <c:ext xmlns:c16="http://schemas.microsoft.com/office/drawing/2014/chart" uri="{C3380CC4-5D6E-409C-BE32-E72D297353CC}">
                <c16:uniqueId val="{0000000C-F301-4A7D-A809-78CAF4775F6C}"/>
              </c:ext>
            </c:extLst>
          </c:dPt>
          <c:dLbls>
            <c:dLbl>
              <c:idx val="0"/>
              <c:layout>
                <c:manualLayout>
                  <c:x val="-1.89933523266857E-3"/>
                  <c:y val="-3.0123079732938299E-5"/>
                </c:manualLayout>
              </c:layout>
              <c:numFmt formatCode="0.00" sourceLinked="0"/>
              <c:spPr/>
              <c:txPr>
                <a:bodyPr wrap="square"/>
                <a:lstStyle/>
                <a:p>
                  <a:pPr>
                    <a:defRPr sz="900" b="0" u="none" strike="noStrike">
                      <a:solidFill>
                        <a:srgbClr val="404040"/>
                      </a:solidFill>
                      <a:uFillTx/>
                      <a:latin typeface="Calibri"/>
                    </a:defRPr>
                  </a:pPr>
                  <a:endParaRPr lang="es-ES"/>
                </a:p>
              </c:txPr>
              <c:dLblPos val="outEnd"/>
              <c:showLegendKey val="0"/>
              <c:showVal val="1"/>
              <c:showCatName val="0"/>
              <c:showSerName val="0"/>
              <c:showPercent val="0"/>
              <c:showBubbleSize val="1"/>
              <c:separator>; </c:separator>
              <c:extLst>
                <c:ext xmlns:c15="http://schemas.microsoft.com/office/drawing/2012/chart" uri="{CE6537A1-D6FC-4f65-9D91-7224C49458BB}"/>
                <c:ext xmlns:c16="http://schemas.microsoft.com/office/drawing/2014/chart" uri="{C3380CC4-5D6E-409C-BE32-E72D297353CC}">
                  <c16:uniqueId val="{00000004-F301-4A7D-A809-78CAF4775F6C}"/>
                </c:ext>
              </c:extLst>
            </c:dLbl>
            <c:dLbl>
              <c:idx val="1"/>
              <c:layout>
                <c:manualLayout>
                  <c:x val="-3.4820743680054698E-17"/>
                  <c:y val="3.9968570529862503E-3"/>
                </c:manualLayout>
              </c:layout>
              <c:numFmt formatCode="0.00" sourceLinked="0"/>
              <c:spPr/>
              <c:txPr>
                <a:bodyPr wrap="square"/>
                <a:lstStyle/>
                <a:p>
                  <a:pPr>
                    <a:defRPr sz="900" b="0" u="none" strike="noStrike">
                      <a:solidFill>
                        <a:srgbClr val="404040"/>
                      </a:solidFill>
                      <a:uFillTx/>
                      <a:latin typeface="Calibri"/>
                    </a:defRPr>
                  </a:pPr>
                  <a:endParaRPr lang="es-ES"/>
                </a:p>
              </c:txPr>
              <c:dLblPos val="outEnd"/>
              <c:showLegendKey val="0"/>
              <c:showVal val="1"/>
              <c:showCatName val="0"/>
              <c:showSerName val="0"/>
              <c:showPercent val="0"/>
              <c:showBubbleSize val="1"/>
              <c:separator>; </c:separator>
              <c:extLst>
                <c:ext xmlns:c15="http://schemas.microsoft.com/office/drawing/2012/chart" uri="{CE6537A1-D6FC-4f65-9D91-7224C49458BB}"/>
                <c:ext xmlns:c16="http://schemas.microsoft.com/office/drawing/2014/chart" uri="{C3380CC4-5D6E-409C-BE32-E72D297353CC}">
                  <c16:uniqueId val="{00000006-F301-4A7D-A809-78CAF4775F6C}"/>
                </c:ext>
              </c:extLst>
            </c:dLbl>
            <c:dLbl>
              <c:idx val="2"/>
              <c:layout>
                <c:manualLayout>
                  <c:x val="-1.89933523266857E-3"/>
                  <c:y val="1.9833669866266201E-3"/>
                </c:manualLayout>
              </c:layout>
              <c:numFmt formatCode="0.00" sourceLinked="0"/>
              <c:spPr/>
              <c:txPr>
                <a:bodyPr wrap="square"/>
                <a:lstStyle/>
                <a:p>
                  <a:pPr>
                    <a:defRPr sz="900" b="0" u="none" strike="noStrike">
                      <a:solidFill>
                        <a:srgbClr val="404040"/>
                      </a:solidFill>
                      <a:uFillTx/>
                      <a:latin typeface="Calibri"/>
                    </a:defRPr>
                  </a:pPr>
                  <a:endParaRPr lang="es-ES"/>
                </a:p>
              </c:txPr>
              <c:dLblPos val="outEnd"/>
              <c:showLegendKey val="0"/>
              <c:showVal val="1"/>
              <c:showCatName val="0"/>
              <c:showSerName val="0"/>
              <c:showPercent val="0"/>
              <c:showBubbleSize val="1"/>
              <c:separator>; </c:separator>
              <c:extLst>
                <c:ext xmlns:c15="http://schemas.microsoft.com/office/drawing/2012/chart" uri="{CE6537A1-D6FC-4f65-9D91-7224C49458BB}"/>
                <c:ext xmlns:c16="http://schemas.microsoft.com/office/drawing/2014/chart" uri="{C3380CC4-5D6E-409C-BE32-E72D297353CC}">
                  <c16:uniqueId val="{00000008-F301-4A7D-A809-78CAF4775F6C}"/>
                </c:ext>
              </c:extLst>
            </c:dLbl>
            <c:dLbl>
              <c:idx val="3"/>
              <c:layout>
                <c:manualLayout>
                  <c:x val="8.41160801906626E-3"/>
                  <c:y val="-4.9588059747829698E-3"/>
                </c:manualLayout>
              </c:layout>
              <c:numFmt formatCode="0.00" sourceLinked="0"/>
              <c:spPr/>
              <c:txPr>
                <a:bodyPr wrap="square"/>
                <a:lstStyle/>
                <a:p>
                  <a:pPr>
                    <a:defRPr sz="900" b="0" u="none" strike="noStrike">
                      <a:solidFill>
                        <a:srgbClr val="404040"/>
                      </a:solidFill>
                      <a:uFillTx/>
                      <a:latin typeface="Calibri"/>
                    </a:defRPr>
                  </a:pPr>
                  <a:endParaRPr lang="es-ES"/>
                </a:p>
              </c:txPr>
              <c:dLblPos val="outEnd"/>
              <c:showLegendKey val="0"/>
              <c:showVal val="1"/>
              <c:showCatName val="0"/>
              <c:showSerName val="0"/>
              <c:showPercent val="0"/>
              <c:showBubbleSize val="1"/>
              <c:separator>; </c:separator>
              <c:extLst>
                <c:ext xmlns:c15="http://schemas.microsoft.com/office/drawing/2012/chart" uri="{CE6537A1-D6FC-4f65-9D91-7224C49458BB}"/>
                <c:ext xmlns:c16="http://schemas.microsoft.com/office/drawing/2014/chart" uri="{C3380CC4-5D6E-409C-BE32-E72D297353CC}">
                  <c16:uniqueId val="{0000000A-F301-4A7D-A809-78CAF4775F6C}"/>
                </c:ext>
              </c:extLst>
            </c:dLbl>
            <c:dLbl>
              <c:idx val="5"/>
              <c:layout>
                <c:manualLayout>
                  <c:x val="-6.9641487360109397E-17"/>
                  <c:y val="-2.0436131460925002E-3"/>
                </c:manualLayout>
              </c:layout>
              <c:numFmt formatCode="0.00" sourceLinked="0"/>
              <c:spPr/>
              <c:txPr>
                <a:bodyPr wrap="square"/>
                <a:lstStyle/>
                <a:p>
                  <a:pPr>
                    <a:defRPr sz="900" b="0" u="none" strike="noStrike">
                      <a:solidFill>
                        <a:srgbClr val="404040"/>
                      </a:solidFill>
                      <a:uFillTx/>
                      <a:latin typeface="Calibri"/>
                    </a:defRPr>
                  </a:pPr>
                  <a:endParaRPr lang="es-ES"/>
                </a:p>
              </c:txPr>
              <c:dLblPos val="outEnd"/>
              <c:showLegendKey val="0"/>
              <c:showVal val="1"/>
              <c:showCatName val="0"/>
              <c:showSerName val="0"/>
              <c:showPercent val="0"/>
              <c:showBubbleSize val="1"/>
              <c:separator>; </c:separator>
              <c:extLst>
                <c:ext xmlns:c15="http://schemas.microsoft.com/office/drawing/2012/chart" uri="{CE6537A1-D6FC-4f65-9D91-7224C49458BB}"/>
                <c:ext xmlns:c16="http://schemas.microsoft.com/office/drawing/2014/chart" uri="{C3380CC4-5D6E-409C-BE32-E72D297353CC}">
                  <c16:uniqueId val="{0000000C-F301-4A7D-A809-78CAF4775F6C}"/>
                </c:ext>
              </c:extLst>
            </c:dLbl>
            <c:numFmt formatCode="0.00" sourceLinked="0"/>
            <c:spPr>
              <a:noFill/>
              <a:ln>
                <a:noFill/>
              </a:ln>
              <a:effectLst/>
            </c:spPr>
            <c:txPr>
              <a:bodyPr wrap="square"/>
              <a:lstStyle/>
              <a:p>
                <a:pPr>
                  <a:defRPr sz="900" b="0" u="none" strike="noStrike">
                    <a:solidFill>
                      <a:srgbClr val="404040"/>
                    </a:solidFill>
                    <a:uFillTx/>
                    <a:latin typeface="Calibri"/>
                  </a:defRPr>
                </a:pPr>
                <a:endParaRPr lang="es-ES"/>
              </a:p>
            </c:txPr>
            <c:dLblPos val="inEnd"/>
            <c:showLegendKey val="0"/>
            <c:showVal val="1"/>
            <c:showCatName val="0"/>
            <c:showSerName val="0"/>
            <c:showPercent val="0"/>
            <c:showBubbleSize val="1"/>
            <c:separator>; </c:separator>
            <c:showLeaderLines val="0"/>
            <c:extLst>
              <c:ext xmlns:c15="http://schemas.microsoft.com/office/drawing/2012/chart" uri="{CE6537A1-D6FC-4f65-9D91-7224C49458BB}">
                <c15:showLeaderLines val="1"/>
                <c15:leaderLines>
                  <c:spPr>
                    <a:ln w="0">
                      <a:solidFill>
                        <a:srgbClr val="000000"/>
                      </a:solidFill>
                    </a:ln>
                  </c:spPr>
                </c15:leaderLines>
              </c:ext>
            </c:extLst>
          </c:dLbls>
          <c:cat>
            <c:strRef>
              <c:f>categories</c:f>
              <c:strCache>
                <c:ptCount val="6"/>
                <c:pt idx="0">
                  <c:v>Pasteurización de la Leche</c:v>
                </c:pt>
                <c:pt idx="1">
                  <c:v>Producción de Yogurt de soya</c:v>
                </c:pt>
                <c:pt idx="2">
                  <c:v>Producción de Queso</c:v>
                </c:pt>
                <c:pt idx="3">
                  <c:v>Producción de Helado</c:v>
                </c:pt>
                <c:pt idx="4">
                  <c:v>Agua de Limpieza</c:v>
                </c:pt>
                <c:pt idx="5">
                  <c:v>Total</c:v>
                </c:pt>
              </c:strCache>
            </c:strRef>
          </c:cat>
          <c:val>
            <c:numRef>
              <c:f>3</c:f>
              <c:numCache>
                <c:formatCode>General</c:formatCode>
                <c:ptCount val="6"/>
                <c:pt idx="0">
                  <c:v>14164.3308510638</c:v>
                </c:pt>
                <c:pt idx="1">
                  <c:v>7555.3972127659599</c:v>
                </c:pt>
                <c:pt idx="2">
                  <c:v>3491.5029787233998</c:v>
                </c:pt>
                <c:pt idx="3">
                  <c:v>3283.1950000000002</c:v>
                </c:pt>
                <c:pt idx="4">
                  <c:v>427.29851063829801</c:v>
                </c:pt>
                <c:pt idx="5">
                  <c:v>28921.7245531915</c:v>
                </c:pt>
              </c:numCache>
            </c:numRef>
          </c:val>
          <c:extLst>
            <c:ext xmlns:c16="http://schemas.microsoft.com/office/drawing/2014/chart" uri="{C3380CC4-5D6E-409C-BE32-E72D297353CC}">
              <c16:uniqueId val="{0000000D-F301-4A7D-A809-78CAF4775F6C}"/>
            </c:ext>
          </c:extLst>
        </c:ser>
        <c:dLbls>
          <c:showLegendKey val="0"/>
          <c:showVal val="0"/>
          <c:showCatName val="0"/>
          <c:showSerName val="0"/>
          <c:showPercent val="0"/>
          <c:showBubbleSize val="0"/>
        </c:dLbls>
        <c:gapWidth val="75"/>
        <c:overlap val="40"/>
        <c:axId val="35206091"/>
        <c:axId val="28716815"/>
      </c:barChart>
      <c:catAx>
        <c:axId val="35206091"/>
        <c:scaling>
          <c:orientation val="minMax"/>
        </c:scaling>
        <c:delete val="0"/>
        <c:axPos val="b"/>
        <c:numFmt formatCode="General" sourceLinked="0"/>
        <c:majorTickMark val="none"/>
        <c:minorTickMark val="none"/>
        <c:tickLblPos val="nextTo"/>
        <c:spPr>
          <a:ln w="9360">
            <a:solidFill>
              <a:srgbClr val="D9D9D9"/>
            </a:solidFill>
            <a:round/>
          </a:ln>
        </c:spPr>
        <c:txPr>
          <a:bodyPr/>
          <a:lstStyle/>
          <a:p>
            <a:pPr>
              <a:defRPr sz="900" b="0" u="none" strike="noStrike">
                <a:solidFill>
                  <a:srgbClr val="595959"/>
                </a:solidFill>
                <a:uFillTx/>
                <a:latin typeface="Calibri"/>
              </a:defRPr>
            </a:pPr>
            <a:endParaRPr lang="es-ES"/>
          </a:p>
        </c:txPr>
        <c:crossAx val="28716815"/>
        <c:crosses val="autoZero"/>
        <c:auto val="1"/>
        <c:lblAlgn val="ctr"/>
        <c:lblOffset val="100"/>
        <c:noMultiLvlLbl val="0"/>
      </c:catAx>
      <c:valAx>
        <c:axId val="28716815"/>
        <c:scaling>
          <c:orientation val="minMax"/>
        </c:scaling>
        <c:delete val="0"/>
        <c:axPos val="l"/>
        <c:majorGridlines>
          <c:spPr>
            <a:ln w="9360">
              <a:solidFill>
                <a:srgbClr val="D9D9D9"/>
              </a:solidFill>
              <a:round/>
            </a:ln>
          </c:spPr>
        </c:majorGridlines>
        <c:numFmt formatCode="0.00" sourceLinked="0"/>
        <c:majorTickMark val="none"/>
        <c:minorTickMark val="none"/>
        <c:tickLblPos val="nextTo"/>
        <c:spPr>
          <a:ln w="6480">
            <a:noFill/>
          </a:ln>
        </c:spPr>
        <c:txPr>
          <a:bodyPr/>
          <a:lstStyle/>
          <a:p>
            <a:pPr>
              <a:defRPr sz="900" b="0" u="none" strike="noStrike">
                <a:solidFill>
                  <a:srgbClr val="595959"/>
                </a:solidFill>
                <a:uFillTx/>
                <a:latin typeface="Calibri"/>
              </a:defRPr>
            </a:pPr>
            <a:endParaRPr lang="es-ES"/>
          </a:p>
        </c:txPr>
        <c:crossAx val="35206091"/>
        <c:crosses val="autoZero"/>
        <c:crossBetween val="between"/>
      </c:valAx>
      <c:spPr>
        <a:noFill/>
        <a:ln w="0">
          <a:noFill/>
        </a:ln>
      </c:spPr>
    </c:plotArea>
    <c:legend>
      <c:legendPos val="r"/>
      <c:overlay val="0"/>
      <c:spPr>
        <a:noFill/>
        <a:ln w="0">
          <a:noFill/>
        </a:ln>
      </c:spPr>
      <c:txPr>
        <a:bodyPr/>
        <a:lstStyle/>
        <a:p>
          <a:pPr>
            <a:defRPr sz="900" b="0" u="none" strike="noStrike">
              <a:solidFill>
                <a:srgbClr val="595959"/>
              </a:solidFill>
              <a:uFillTx/>
              <a:latin typeface="Calibri"/>
            </a:defRPr>
          </a:pPr>
          <a:endParaRPr lang="es-ES"/>
        </a:p>
      </c:txPr>
    </c:legend>
    <c:plotVisOnly val="1"/>
    <c:dispBlanksAs val="gap"/>
    <c:showDLblsOverMax val="1"/>
  </c:chart>
  <c:spPr>
    <a:solidFill>
      <a:srgbClr val="FFFFFF"/>
    </a:solidFill>
    <a:ln w="9360">
      <a:solidFill>
        <a:srgbClr val="D9D9D9"/>
      </a:solidFill>
      <a:round/>
    </a:ln>
  </c:spPr>
  <c:externalData r:id="rId1">
    <c:autoUpdate val="0"/>
  </c:externalData>
</c:chartSpace>
</file>

<file path=word/theme/theme1.xml><?xml version="1.0" encoding="utf-8"?>
<a:theme xmlns:a="http://schemas.openxmlformats.org/drawingml/2006/main" name="Tema de Offic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A0EE22-048D-418D-A22A-235FD8FACF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3208</TotalTime>
  <Pages>6</Pages>
  <Words>2091</Words>
  <Characters>11505</Characters>
  <Application>Microsoft Office Word</Application>
  <DocSecurity>0</DocSecurity>
  <Lines>95</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Dianeya</dc:creator>
  <dc:description/>
  <cp:lastModifiedBy>DMA</cp:lastModifiedBy>
  <cp:revision>342</cp:revision>
  <dcterms:created xsi:type="dcterms:W3CDTF">2026-01-13T15:13:00Z</dcterms:created>
  <dcterms:modified xsi:type="dcterms:W3CDTF">2026-09-16T10:53:00Z</dcterms:modified>
  <dc:language>es-ES</dc:language>
</cp:coreProperties>
</file>