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3F27F" w14:textId="77777777" w:rsidR="009B6919" w:rsidRPr="009B6919" w:rsidRDefault="009B6919" w:rsidP="00AF7ADF">
      <w:pPr>
        <w:spacing w:after="0" w:line="240" w:lineRule="auto"/>
        <w:rPr>
          <w:rFonts w:ascii="Arial" w:hAnsi="Arial" w:cs="Arial"/>
          <w:b/>
          <w:bCs/>
        </w:rPr>
      </w:pPr>
      <w:r w:rsidRPr="009B6919">
        <w:rPr>
          <w:rFonts w:ascii="Arial" w:hAnsi="Arial" w:cs="Arial"/>
          <w:b/>
          <w:bCs/>
        </w:rPr>
        <w:t>VI TALLER INTERNACIONAL DE GESTIÓN EMPRESARIAL Y DESARROLLO LOCAL</w:t>
      </w:r>
    </w:p>
    <w:p w14:paraId="6D6CC458" w14:textId="5409456F" w:rsidR="00815AC4" w:rsidRPr="003B0510" w:rsidRDefault="00815AC4" w:rsidP="00AF7ADF">
      <w:pPr>
        <w:spacing w:after="0" w:line="240" w:lineRule="auto"/>
        <w:jc w:val="center"/>
        <w:rPr>
          <w:rFonts w:ascii="Arial" w:hAnsi="Arial" w:cs="Arial"/>
          <w:b/>
          <w:bCs/>
          <w:sz w:val="24"/>
          <w:szCs w:val="24"/>
          <w:lang w:val="es-CU"/>
        </w:rPr>
      </w:pPr>
      <w:r w:rsidRPr="003B0510">
        <w:rPr>
          <w:rFonts w:ascii="Arial" w:hAnsi="Arial" w:cs="Arial"/>
          <w:b/>
          <w:bCs/>
          <w:sz w:val="24"/>
          <w:szCs w:val="24"/>
          <w:lang w:val="es-CU"/>
        </w:rPr>
        <w:t>Evaluación de</w:t>
      </w:r>
      <w:r w:rsidR="003B0510" w:rsidRPr="003B0510">
        <w:rPr>
          <w:rFonts w:ascii="Arial" w:hAnsi="Arial" w:cs="Arial"/>
          <w:b/>
          <w:bCs/>
          <w:sz w:val="24"/>
          <w:szCs w:val="24"/>
          <w:lang w:val="es-CU"/>
        </w:rPr>
        <w:t xml:space="preserve"> la</w:t>
      </w:r>
      <w:r w:rsidRPr="003B0510">
        <w:rPr>
          <w:rFonts w:ascii="Arial" w:hAnsi="Arial" w:cs="Arial"/>
          <w:b/>
          <w:bCs/>
          <w:sz w:val="24"/>
          <w:szCs w:val="24"/>
          <w:lang w:val="es-CU"/>
        </w:rPr>
        <w:t xml:space="preserve"> innovación: desde encuestas estadísticas a herramientas de </w:t>
      </w:r>
      <w:r w:rsidR="0007757B" w:rsidRPr="003B0510">
        <w:rPr>
          <w:rFonts w:ascii="Arial" w:hAnsi="Arial" w:cs="Arial"/>
          <w:b/>
          <w:bCs/>
          <w:sz w:val="24"/>
          <w:szCs w:val="24"/>
          <w:lang w:val="es-CU"/>
        </w:rPr>
        <w:t>inteligencia artificial.</w:t>
      </w:r>
    </w:p>
    <w:p w14:paraId="256E7897" w14:textId="3A88460A" w:rsidR="00F65A8D" w:rsidRPr="003D1623" w:rsidRDefault="003B0510" w:rsidP="00AF7ADF">
      <w:pPr>
        <w:spacing w:after="0" w:line="240" w:lineRule="auto"/>
        <w:jc w:val="center"/>
        <w:rPr>
          <w:rFonts w:ascii="Arial" w:hAnsi="Arial" w:cs="Arial"/>
          <w:b/>
          <w:bCs/>
          <w:sz w:val="24"/>
          <w:szCs w:val="24"/>
        </w:rPr>
      </w:pPr>
      <w:r>
        <w:rPr>
          <w:rFonts w:ascii="Arial" w:hAnsi="Arial" w:cs="Arial"/>
          <w:b/>
          <w:bCs/>
          <w:sz w:val="24"/>
          <w:szCs w:val="24"/>
        </w:rPr>
        <w:t xml:space="preserve">Eje temático: </w:t>
      </w:r>
      <w:r w:rsidR="00F65A8D" w:rsidRPr="00F65A8D">
        <w:rPr>
          <w:rFonts w:ascii="Arial" w:hAnsi="Arial" w:cs="Arial"/>
          <w:b/>
          <w:bCs/>
          <w:sz w:val="24"/>
          <w:szCs w:val="24"/>
        </w:rPr>
        <w:t>Gestión del conocimiento e innovación para el desarrollo local.</w:t>
      </w:r>
    </w:p>
    <w:p w14:paraId="4FF60E70" w14:textId="3BAF06C1" w:rsidR="008952C9" w:rsidRPr="003D1623" w:rsidRDefault="008952C9" w:rsidP="00AF7ADF">
      <w:pPr>
        <w:spacing w:after="0" w:line="240" w:lineRule="auto"/>
        <w:jc w:val="both"/>
        <w:rPr>
          <w:rFonts w:ascii="Arial" w:hAnsi="Arial" w:cs="Arial"/>
          <w:sz w:val="24"/>
          <w:szCs w:val="24"/>
        </w:rPr>
      </w:pPr>
      <w:r w:rsidRPr="003D1623">
        <w:rPr>
          <w:rFonts w:ascii="Arial" w:hAnsi="Arial" w:cs="Arial"/>
          <w:sz w:val="24"/>
          <w:szCs w:val="24"/>
        </w:rPr>
        <w:t>Mayra Nápoles Pouza</w:t>
      </w:r>
      <w:r w:rsidRPr="003D1623">
        <w:rPr>
          <w:rFonts w:ascii="Arial" w:hAnsi="Arial" w:cs="Arial"/>
          <w:sz w:val="24"/>
          <w:szCs w:val="24"/>
          <w:vertAlign w:val="superscript"/>
        </w:rPr>
        <w:t>1</w:t>
      </w:r>
      <w:r w:rsidR="00AE73B8" w:rsidRPr="003D1623">
        <w:rPr>
          <w:rFonts w:ascii="Arial" w:hAnsi="Arial" w:cs="Arial"/>
          <w:sz w:val="24"/>
          <w:szCs w:val="24"/>
        </w:rPr>
        <w:t xml:space="preserve">, Máster, </w:t>
      </w:r>
      <w:r w:rsidRPr="003D1623">
        <w:rPr>
          <w:rFonts w:ascii="Arial" w:hAnsi="Arial" w:cs="Arial"/>
          <w:sz w:val="24"/>
          <w:szCs w:val="24"/>
        </w:rPr>
        <w:t xml:space="preserve">E-mail: </w:t>
      </w:r>
      <w:r w:rsidR="00AE73B8" w:rsidRPr="003D1623">
        <w:rPr>
          <w:rFonts w:ascii="Arial" w:hAnsi="Arial" w:cs="Arial"/>
          <w:sz w:val="24"/>
          <w:szCs w:val="24"/>
        </w:rPr>
        <w:t xml:space="preserve">mnapolespouza@gmail.com, Teléfono: </w:t>
      </w:r>
      <w:r w:rsidR="009B6919">
        <w:rPr>
          <w:rFonts w:ascii="Arial" w:hAnsi="Arial" w:cs="Arial"/>
          <w:sz w:val="24"/>
          <w:szCs w:val="24"/>
        </w:rPr>
        <w:t>+53</w:t>
      </w:r>
      <w:r w:rsidR="00AE73B8" w:rsidRPr="003D1623">
        <w:rPr>
          <w:rFonts w:ascii="Arial" w:hAnsi="Arial" w:cs="Arial"/>
          <w:sz w:val="24"/>
          <w:szCs w:val="24"/>
        </w:rPr>
        <w:t>54562852</w:t>
      </w:r>
    </w:p>
    <w:p w14:paraId="3DA302C6" w14:textId="13B3182A" w:rsidR="008952C9" w:rsidRPr="003D1623" w:rsidRDefault="008952C9" w:rsidP="00AF7ADF">
      <w:pPr>
        <w:spacing w:after="0" w:line="240" w:lineRule="auto"/>
        <w:jc w:val="both"/>
        <w:rPr>
          <w:rFonts w:ascii="Arial" w:hAnsi="Arial" w:cs="Arial"/>
          <w:sz w:val="24"/>
          <w:szCs w:val="24"/>
        </w:rPr>
      </w:pPr>
      <w:r w:rsidRPr="003D1623">
        <w:rPr>
          <w:rFonts w:ascii="Arial" w:hAnsi="Arial" w:cs="Arial"/>
          <w:sz w:val="24"/>
          <w:szCs w:val="24"/>
          <w:lang w:val="es-US"/>
        </w:rPr>
        <w:t xml:space="preserve">Grisel Barrios Castillo </w:t>
      </w:r>
      <w:r w:rsidRPr="003D1623">
        <w:rPr>
          <w:rFonts w:ascii="Arial" w:hAnsi="Arial" w:cs="Arial"/>
          <w:sz w:val="24"/>
          <w:szCs w:val="24"/>
          <w:vertAlign w:val="superscript"/>
          <w:lang w:val="es-US"/>
        </w:rPr>
        <w:t>1</w:t>
      </w:r>
      <w:r w:rsidR="00AE73B8" w:rsidRPr="003D1623">
        <w:rPr>
          <w:rFonts w:ascii="Arial" w:hAnsi="Arial" w:cs="Arial"/>
          <w:sz w:val="24"/>
          <w:szCs w:val="24"/>
          <w:lang w:val="es-US"/>
        </w:rPr>
        <w:t xml:space="preserve">, Doctora, </w:t>
      </w:r>
      <w:r w:rsidRPr="003D1623">
        <w:rPr>
          <w:rFonts w:ascii="Arial" w:hAnsi="Arial" w:cs="Arial"/>
          <w:sz w:val="24"/>
          <w:szCs w:val="24"/>
        </w:rPr>
        <w:t xml:space="preserve">E-mail: </w:t>
      </w:r>
      <w:hyperlink r:id="rId5" w:history="1">
        <w:r w:rsidRPr="003D1623">
          <w:rPr>
            <w:rFonts w:ascii="Arial" w:hAnsi="Arial" w:cs="Arial"/>
            <w:sz w:val="24"/>
            <w:szCs w:val="24"/>
          </w:rPr>
          <w:t>gbarrios@uclv.edu.cu</w:t>
        </w:r>
      </w:hyperlink>
    </w:p>
    <w:p w14:paraId="06FC0148" w14:textId="512A5A83" w:rsidR="008952C9" w:rsidRPr="003D1623" w:rsidRDefault="008952C9" w:rsidP="00AF7ADF">
      <w:pPr>
        <w:spacing w:after="0" w:line="240" w:lineRule="auto"/>
        <w:jc w:val="both"/>
        <w:rPr>
          <w:rFonts w:ascii="Arial" w:hAnsi="Arial" w:cs="Arial"/>
          <w:sz w:val="24"/>
          <w:szCs w:val="24"/>
        </w:rPr>
      </w:pPr>
      <w:r w:rsidRPr="003D1623">
        <w:rPr>
          <w:rFonts w:ascii="Arial" w:hAnsi="Arial" w:cs="Arial"/>
          <w:sz w:val="24"/>
          <w:szCs w:val="24"/>
          <w:lang w:val="es-US"/>
        </w:rPr>
        <w:t xml:space="preserve">Yudiesky Cancio Diaz </w:t>
      </w:r>
      <w:r w:rsidRPr="003D1623">
        <w:rPr>
          <w:rFonts w:ascii="Arial" w:hAnsi="Arial" w:cs="Arial"/>
          <w:sz w:val="24"/>
          <w:szCs w:val="24"/>
          <w:vertAlign w:val="superscript"/>
          <w:lang w:val="es-US"/>
        </w:rPr>
        <w:t>1</w:t>
      </w:r>
      <w:r w:rsidR="00AE73B8" w:rsidRPr="003D1623">
        <w:rPr>
          <w:rFonts w:ascii="Arial" w:hAnsi="Arial" w:cs="Arial"/>
          <w:sz w:val="24"/>
          <w:szCs w:val="24"/>
          <w:lang w:val="es-US"/>
        </w:rPr>
        <w:t xml:space="preserve">, Doctor, </w:t>
      </w:r>
      <w:r w:rsidRPr="003D1623">
        <w:rPr>
          <w:rFonts w:ascii="Arial" w:hAnsi="Arial" w:cs="Arial"/>
          <w:sz w:val="24"/>
          <w:szCs w:val="24"/>
          <w:lang w:val="es-CU"/>
        </w:rPr>
        <w:t xml:space="preserve">E-mail: </w:t>
      </w:r>
      <w:hyperlink r:id="rId6" w:history="1">
        <w:r w:rsidRPr="003D1623">
          <w:rPr>
            <w:rStyle w:val="Hipervnculo"/>
            <w:rFonts w:ascii="Arial" w:hAnsi="Arial" w:cs="Arial"/>
            <w:color w:val="auto"/>
            <w:sz w:val="24"/>
            <w:szCs w:val="24"/>
            <w:lang w:val="es-CU"/>
          </w:rPr>
          <w:t>yudieskycd@uclv.edu.cu</w:t>
        </w:r>
      </w:hyperlink>
    </w:p>
    <w:p w14:paraId="0D02775D" w14:textId="167D0D20" w:rsidR="00AE73B8" w:rsidRPr="003D1623" w:rsidRDefault="008952C9" w:rsidP="00AF7ADF">
      <w:pPr>
        <w:spacing w:after="0" w:line="240" w:lineRule="auto"/>
        <w:jc w:val="both"/>
        <w:rPr>
          <w:rStyle w:val="Hipervnculo"/>
          <w:rFonts w:ascii="Arial" w:hAnsi="Arial" w:cs="Arial"/>
          <w:color w:val="auto"/>
          <w:sz w:val="24"/>
          <w:szCs w:val="24"/>
          <w:lang w:val="es-CU"/>
        </w:rPr>
      </w:pPr>
      <w:r w:rsidRPr="003D1623">
        <w:rPr>
          <w:rFonts w:ascii="Arial" w:hAnsi="Arial" w:cs="Arial"/>
          <w:sz w:val="24"/>
          <w:szCs w:val="24"/>
          <w:lang w:val="es-US"/>
        </w:rPr>
        <w:t xml:space="preserve">Yosvany Díaz Cárdenas </w:t>
      </w:r>
      <w:r w:rsidRPr="003D1623">
        <w:rPr>
          <w:rFonts w:ascii="Arial" w:hAnsi="Arial" w:cs="Arial"/>
          <w:sz w:val="24"/>
          <w:szCs w:val="24"/>
          <w:vertAlign w:val="superscript"/>
          <w:lang w:val="es-US"/>
        </w:rPr>
        <w:t>1</w:t>
      </w:r>
      <w:r w:rsidR="00AE73B8" w:rsidRPr="003D1623">
        <w:rPr>
          <w:rFonts w:ascii="Arial" w:hAnsi="Arial" w:cs="Arial"/>
          <w:sz w:val="24"/>
          <w:szCs w:val="24"/>
          <w:lang w:val="es-US"/>
        </w:rPr>
        <w:t xml:space="preserve">, Doctor, </w:t>
      </w:r>
      <w:r w:rsidRPr="003D1623">
        <w:rPr>
          <w:rFonts w:ascii="Arial" w:hAnsi="Arial" w:cs="Arial"/>
          <w:sz w:val="24"/>
          <w:szCs w:val="24"/>
          <w:lang w:val="es-CU"/>
        </w:rPr>
        <w:t xml:space="preserve">E-mail: </w:t>
      </w:r>
      <w:hyperlink r:id="rId7" w:history="1">
        <w:r w:rsidRPr="003D1623">
          <w:rPr>
            <w:rStyle w:val="Hipervnculo"/>
            <w:rFonts w:ascii="Arial" w:hAnsi="Arial" w:cs="Arial"/>
            <w:color w:val="auto"/>
            <w:sz w:val="24"/>
            <w:szCs w:val="24"/>
            <w:lang w:val="es-CU"/>
          </w:rPr>
          <w:t>yosvanyd@uclv.edu.cu</w:t>
        </w:r>
      </w:hyperlink>
    </w:p>
    <w:p w14:paraId="1ED3523B" w14:textId="11A75063" w:rsidR="0007757B" w:rsidRDefault="008952C9" w:rsidP="00AF7ADF">
      <w:pPr>
        <w:spacing w:after="0" w:line="240" w:lineRule="auto"/>
        <w:jc w:val="both"/>
        <w:rPr>
          <w:rFonts w:ascii="Arial" w:hAnsi="Arial" w:cs="Arial"/>
          <w:sz w:val="24"/>
          <w:szCs w:val="24"/>
        </w:rPr>
      </w:pPr>
      <w:r w:rsidRPr="003D1623">
        <w:rPr>
          <w:rFonts w:ascii="Arial" w:hAnsi="Arial" w:cs="Arial"/>
          <w:sz w:val="24"/>
          <w:szCs w:val="24"/>
          <w:vertAlign w:val="superscript"/>
        </w:rPr>
        <w:t>1</w:t>
      </w:r>
      <w:r w:rsidRPr="003D1623">
        <w:rPr>
          <w:rFonts w:ascii="Arial" w:hAnsi="Arial" w:cs="Arial"/>
          <w:sz w:val="24"/>
          <w:szCs w:val="24"/>
        </w:rPr>
        <w:t xml:space="preserve"> </w:t>
      </w:r>
      <w:r w:rsidR="009B6919">
        <w:rPr>
          <w:rFonts w:ascii="Arial" w:hAnsi="Arial" w:cs="Arial"/>
          <w:sz w:val="24"/>
          <w:szCs w:val="24"/>
        </w:rPr>
        <w:t>U</w:t>
      </w:r>
      <w:r w:rsidR="009B6919" w:rsidRPr="003D1623">
        <w:rPr>
          <w:rFonts w:ascii="Arial" w:hAnsi="Arial" w:cs="Arial"/>
          <w:sz w:val="24"/>
          <w:szCs w:val="24"/>
        </w:rPr>
        <w:t>niversidad</w:t>
      </w:r>
      <w:r w:rsidRPr="003D1623">
        <w:rPr>
          <w:rFonts w:ascii="Arial" w:hAnsi="Arial" w:cs="Arial"/>
          <w:sz w:val="24"/>
          <w:szCs w:val="24"/>
        </w:rPr>
        <w:t xml:space="preserve"> Central “Marta Abreu” de Las Villas</w:t>
      </w:r>
      <w:r w:rsidR="00AE73B8" w:rsidRPr="003D1623">
        <w:rPr>
          <w:rFonts w:ascii="Arial" w:hAnsi="Arial" w:cs="Arial"/>
          <w:sz w:val="24"/>
          <w:szCs w:val="24"/>
        </w:rPr>
        <w:t>, Santa Clara,</w:t>
      </w:r>
      <w:r w:rsidRPr="003D1623">
        <w:rPr>
          <w:rFonts w:ascii="Arial" w:hAnsi="Arial" w:cs="Arial"/>
          <w:sz w:val="24"/>
          <w:szCs w:val="24"/>
        </w:rPr>
        <w:t xml:space="preserve"> Cuba</w:t>
      </w:r>
      <w:r w:rsidR="00AE73B8" w:rsidRPr="003D1623">
        <w:rPr>
          <w:rFonts w:ascii="Arial" w:hAnsi="Arial" w:cs="Arial"/>
          <w:sz w:val="24"/>
          <w:szCs w:val="24"/>
        </w:rPr>
        <w:t>.</w:t>
      </w:r>
    </w:p>
    <w:p w14:paraId="09DD415B" w14:textId="7210E4C7" w:rsidR="0007757B" w:rsidRDefault="0007757B" w:rsidP="00AF7ADF">
      <w:pPr>
        <w:spacing w:after="120" w:line="240" w:lineRule="auto"/>
        <w:jc w:val="both"/>
        <w:rPr>
          <w:rFonts w:ascii="Arial" w:hAnsi="Arial" w:cs="Arial"/>
          <w:b/>
          <w:bCs/>
          <w:sz w:val="24"/>
          <w:szCs w:val="24"/>
        </w:rPr>
      </w:pPr>
      <w:r w:rsidRPr="0007757B">
        <w:rPr>
          <w:rFonts w:ascii="Arial" w:hAnsi="Arial" w:cs="Arial"/>
          <w:b/>
          <w:bCs/>
          <w:sz w:val="24"/>
          <w:szCs w:val="24"/>
        </w:rPr>
        <w:t>RESUMEN</w:t>
      </w:r>
    </w:p>
    <w:p w14:paraId="674E0771" w14:textId="704ABBE5" w:rsidR="002D6FD2" w:rsidRPr="002D6FD2" w:rsidRDefault="0007757B" w:rsidP="00AF7ADF">
      <w:pPr>
        <w:spacing w:after="0" w:line="240" w:lineRule="auto"/>
        <w:jc w:val="both"/>
        <w:rPr>
          <w:rFonts w:ascii="Arial" w:hAnsi="Arial" w:cs="Arial"/>
          <w:sz w:val="24"/>
          <w:szCs w:val="24"/>
          <w:lang w:val="es-CU"/>
        </w:rPr>
      </w:pPr>
      <w:r w:rsidRPr="002D6FD2">
        <w:rPr>
          <w:rFonts w:ascii="Arial" w:eastAsia="Times New Roman" w:hAnsi="Arial" w:cs="Arial"/>
          <w:sz w:val="24"/>
          <w:szCs w:val="24"/>
          <w:lang w:val="es-CU"/>
        </w:rPr>
        <w:t>El paradigma dominante de evaluación de la innovación durante las últimas tres décadas ha sido el de las encuestas estadísticas armonizadas</w:t>
      </w:r>
      <w:r w:rsidR="00380A67" w:rsidRPr="002D6FD2">
        <w:rPr>
          <w:rFonts w:ascii="Arial" w:eastAsia="Times New Roman" w:hAnsi="Arial" w:cs="Arial"/>
          <w:sz w:val="24"/>
          <w:szCs w:val="24"/>
          <w:lang w:val="es-CU"/>
        </w:rPr>
        <w:t xml:space="preserve">, sin embargo, la actual proliferación de fuentes de datos digitales ha dado lugar a un nuevo </w:t>
      </w:r>
      <w:r w:rsidR="003B0510" w:rsidRPr="002D6FD2">
        <w:rPr>
          <w:rFonts w:ascii="Arial" w:eastAsia="Times New Roman" w:hAnsi="Arial" w:cs="Arial"/>
          <w:sz w:val="24"/>
          <w:szCs w:val="24"/>
          <w:lang w:val="es-CU"/>
        </w:rPr>
        <w:t>prototipo</w:t>
      </w:r>
      <w:r w:rsidR="00380A67" w:rsidRPr="002D6FD2">
        <w:rPr>
          <w:rFonts w:ascii="Arial" w:eastAsia="Times New Roman" w:hAnsi="Arial" w:cs="Arial"/>
          <w:sz w:val="24"/>
          <w:szCs w:val="24"/>
          <w:lang w:val="es-CU"/>
        </w:rPr>
        <w:t xml:space="preserve"> de generación de indicadores de innovación, basado en técnicas de minería de datos y aprendizaje automático. La presente investigación tiene como objetivo </w:t>
      </w:r>
      <w:r w:rsidR="0025601F" w:rsidRPr="002D6FD2">
        <w:rPr>
          <w:rFonts w:ascii="Arial" w:eastAsia="Times New Roman" w:hAnsi="Arial" w:cs="Arial"/>
          <w:sz w:val="24"/>
          <w:szCs w:val="24"/>
          <w:lang w:val="es-CU"/>
        </w:rPr>
        <w:t>analizar evolutiva y comparativamente</w:t>
      </w:r>
      <w:r w:rsidR="00380A67" w:rsidRPr="002D6FD2">
        <w:rPr>
          <w:rFonts w:ascii="Arial" w:eastAsia="Calibri" w:hAnsi="Arial" w:cs="Arial"/>
          <w:sz w:val="24"/>
          <w:szCs w:val="24"/>
          <w:lang w:val="es-CU"/>
        </w:rPr>
        <w:t xml:space="preserve"> las metodologías e indicadores de medición de la innovación contenidos en los principales manuales internacionales de referencia, el </w:t>
      </w:r>
      <w:r w:rsidR="0025601F" w:rsidRPr="002D6FD2">
        <w:rPr>
          <w:rFonts w:ascii="Arial" w:eastAsia="Calibri" w:hAnsi="Arial" w:cs="Arial"/>
          <w:sz w:val="24"/>
          <w:szCs w:val="24"/>
          <w:lang w:val="es-CU"/>
        </w:rPr>
        <w:t>S</w:t>
      </w:r>
      <w:r w:rsidR="00380A67" w:rsidRPr="002D6FD2">
        <w:rPr>
          <w:rFonts w:ascii="Arial" w:eastAsia="Calibri" w:hAnsi="Arial" w:cs="Arial"/>
          <w:sz w:val="24"/>
          <w:szCs w:val="24"/>
          <w:lang w:val="es-CU"/>
        </w:rPr>
        <w:t xml:space="preserve">istema </w:t>
      </w:r>
      <w:r w:rsidR="0025601F" w:rsidRPr="002D6FD2">
        <w:rPr>
          <w:rFonts w:ascii="Arial" w:eastAsia="Calibri" w:hAnsi="Arial" w:cs="Arial"/>
          <w:sz w:val="24"/>
          <w:szCs w:val="24"/>
          <w:lang w:val="es-CU"/>
        </w:rPr>
        <w:t>N</w:t>
      </w:r>
      <w:r w:rsidR="00380A67" w:rsidRPr="002D6FD2">
        <w:rPr>
          <w:rFonts w:ascii="Arial" w:eastAsia="Calibri" w:hAnsi="Arial" w:cs="Arial"/>
          <w:sz w:val="24"/>
          <w:szCs w:val="24"/>
          <w:lang w:val="es-CU"/>
        </w:rPr>
        <w:t xml:space="preserve">acional de </w:t>
      </w:r>
      <w:r w:rsidR="0025601F" w:rsidRPr="002D6FD2">
        <w:rPr>
          <w:rFonts w:ascii="Arial" w:eastAsia="Calibri" w:hAnsi="Arial" w:cs="Arial"/>
          <w:sz w:val="24"/>
          <w:szCs w:val="24"/>
          <w:lang w:val="es-CU"/>
        </w:rPr>
        <w:t>I</w:t>
      </w:r>
      <w:r w:rsidR="00380A67" w:rsidRPr="002D6FD2">
        <w:rPr>
          <w:rFonts w:ascii="Arial" w:eastAsia="Calibri" w:hAnsi="Arial" w:cs="Arial"/>
          <w:sz w:val="24"/>
          <w:szCs w:val="24"/>
          <w:lang w:val="es-CU"/>
        </w:rPr>
        <w:t xml:space="preserve">ndicadores de </w:t>
      </w:r>
      <w:r w:rsidR="0025601F" w:rsidRPr="002D6FD2">
        <w:rPr>
          <w:rFonts w:ascii="Arial" w:eastAsia="Calibri" w:hAnsi="Arial" w:cs="Arial"/>
          <w:sz w:val="24"/>
          <w:szCs w:val="24"/>
          <w:lang w:val="es-CU"/>
        </w:rPr>
        <w:t>C</w:t>
      </w:r>
      <w:r w:rsidR="003B0510">
        <w:rPr>
          <w:rFonts w:ascii="Arial" w:eastAsia="Calibri" w:hAnsi="Arial" w:cs="Arial"/>
          <w:sz w:val="24"/>
          <w:szCs w:val="24"/>
          <w:lang w:val="es-CU"/>
        </w:rPr>
        <w:t>TI del</w:t>
      </w:r>
      <w:r w:rsidR="00380A67" w:rsidRPr="002D6FD2">
        <w:rPr>
          <w:rFonts w:ascii="Arial" w:eastAsia="Calibri" w:hAnsi="Arial" w:cs="Arial"/>
          <w:sz w:val="24"/>
          <w:szCs w:val="24"/>
          <w:lang w:val="es-CU"/>
        </w:rPr>
        <w:t xml:space="preserve"> CITMA en Cuba</w:t>
      </w:r>
      <w:r w:rsidR="0025601F" w:rsidRPr="002D6FD2">
        <w:rPr>
          <w:rFonts w:ascii="Arial" w:eastAsia="Calibri" w:hAnsi="Arial" w:cs="Arial"/>
          <w:sz w:val="24"/>
          <w:szCs w:val="24"/>
          <w:lang w:val="es-CU"/>
        </w:rPr>
        <w:t xml:space="preserve"> y </w:t>
      </w:r>
      <w:r w:rsidR="0025601F" w:rsidRPr="002D6FD2">
        <w:rPr>
          <w:rFonts w:ascii="Arial" w:eastAsia="Times New Roman" w:hAnsi="Arial" w:cs="Arial"/>
          <w:sz w:val="24"/>
          <w:szCs w:val="24"/>
          <w:lang w:val="es-CU"/>
        </w:rPr>
        <w:t>estudios recientes desarrollados de indicadores dinámicos que incorporan información textual extraída mediante técnicas de aprendizaje automático</w:t>
      </w:r>
      <w:r w:rsidR="00380A67" w:rsidRPr="002D6FD2">
        <w:rPr>
          <w:rFonts w:ascii="Arial" w:eastAsia="Calibri" w:hAnsi="Arial" w:cs="Arial"/>
          <w:sz w:val="24"/>
          <w:szCs w:val="24"/>
          <w:lang w:val="es-CU"/>
        </w:rPr>
        <w:t xml:space="preserve">, con el propósito de identificar sus convergencias, divergencias y </w:t>
      </w:r>
      <w:r w:rsidR="0025601F" w:rsidRPr="002D6FD2">
        <w:rPr>
          <w:rFonts w:ascii="Arial" w:hAnsi="Arial" w:cs="Arial"/>
          <w:sz w:val="24"/>
          <w:szCs w:val="24"/>
        </w:rPr>
        <w:t>reconocer líneas investigativas contemporáneas.</w:t>
      </w:r>
      <w:r w:rsidR="00B40817" w:rsidRPr="002D6FD2">
        <w:rPr>
          <w:rFonts w:ascii="Arial" w:hAnsi="Arial" w:cs="Arial"/>
          <w:sz w:val="24"/>
          <w:szCs w:val="24"/>
        </w:rPr>
        <w:t xml:space="preserve"> </w:t>
      </w:r>
      <w:r w:rsidR="002D6FD2" w:rsidRPr="002D6FD2">
        <w:rPr>
          <w:rFonts w:ascii="Arial" w:hAnsi="Arial" w:cs="Arial"/>
          <w:sz w:val="24"/>
          <w:szCs w:val="24"/>
          <w:lang w:val="es-CU"/>
        </w:rPr>
        <w:t>La investigación que se efectúa es</w:t>
      </w:r>
      <w:r w:rsidR="002D6FD2" w:rsidRPr="002D6FD2">
        <w:rPr>
          <w:rFonts w:ascii="Arial" w:eastAsia="Calibri" w:hAnsi="Arial" w:cs="Arial"/>
          <w:sz w:val="24"/>
          <w:szCs w:val="24"/>
          <w:lang w:val="es-CU"/>
        </w:rPr>
        <w:t xml:space="preserve"> de tipo descriptiva-comparativa, de naturaleza documental/bibliográfica, con enfoque predominantemente cualitativo, </w:t>
      </w:r>
      <w:r w:rsidR="002D6FD2" w:rsidRPr="002D6FD2">
        <w:rPr>
          <w:rFonts w:ascii="Arial" w:hAnsi="Arial" w:cs="Arial"/>
          <w:sz w:val="24"/>
          <w:szCs w:val="24"/>
          <w:lang w:val="es-CU"/>
        </w:rPr>
        <w:t>además se incorpora</w:t>
      </w:r>
      <w:r w:rsidR="003B0510">
        <w:rPr>
          <w:rFonts w:ascii="Arial" w:hAnsi="Arial" w:cs="Arial"/>
          <w:sz w:val="24"/>
          <w:szCs w:val="24"/>
          <w:lang w:val="es-CU"/>
        </w:rPr>
        <w:t>n</w:t>
      </w:r>
      <w:r w:rsidR="002D6FD2" w:rsidRPr="002D6FD2">
        <w:rPr>
          <w:rFonts w:ascii="Arial" w:hAnsi="Arial" w:cs="Arial"/>
          <w:sz w:val="24"/>
          <w:szCs w:val="24"/>
          <w:lang w:val="es-CU"/>
        </w:rPr>
        <w:t xml:space="preserve"> métodos de</w:t>
      </w:r>
      <w:r w:rsidR="003B0510">
        <w:rPr>
          <w:rFonts w:ascii="Arial" w:hAnsi="Arial" w:cs="Arial"/>
          <w:sz w:val="24"/>
          <w:szCs w:val="24"/>
          <w:lang w:val="es-CU"/>
        </w:rPr>
        <w:t>l</w:t>
      </w:r>
      <w:r w:rsidR="002D6FD2" w:rsidRPr="002D6FD2">
        <w:rPr>
          <w:rFonts w:ascii="Arial" w:hAnsi="Arial" w:cs="Arial"/>
          <w:sz w:val="24"/>
          <w:szCs w:val="24"/>
          <w:lang w:val="es-CU"/>
        </w:rPr>
        <w:t xml:space="preserve"> nivel teórico como el </w:t>
      </w:r>
      <w:r w:rsidR="002D6FD2" w:rsidRPr="002D6FD2">
        <w:rPr>
          <w:rFonts w:ascii="Arial" w:hAnsi="Arial" w:cs="Arial"/>
          <w:sz w:val="24"/>
          <w:szCs w:val="24"/>
          <w:lang w:val="es-US" w:eastAsia="es-ES"/>
        </w:rPr>
        <w:t>analítico-sintético</w:t>
      </w:r>
      <w:r w:rsidR="002D6FD2" w:rsidRPr="002D6FD2">
        <w:rPr>
          <w:rFonts w:ascii="Arial" w:hAnsi="Arial" w:cs="Arial"/>
          <w:sz w:val="24"/>
          <w:szCs w:val="24"/>
          <w:lang w:val="es-US"/>
        </w:rPr>
        <w:t xml:space="preserve">, </w:t>
      </w:r>
      <w:r w:rsidR="002D6FD2" w:rsidRPr="002D6FD2">
        <w:rPr>
          <w:rFonts w:ascii="Arial" w:hAnsi="Arial" w:cs="Arial"/>
          <w:sz w:val="24"/>
          <w:szCs w:val="24"/>
          <w:lang w:val="es-CU"/>
        </w:rPr>
        <w:t xml:space="preserve">el </w:t>
      </w:r>
      <w:r w:rsidR="002D6FD2" w:rsidRPr="002D6FD2">
        <w:rPr>
          <w:rFonts w:ascii="Arial" w:hAnsi="Arial" w:cs="Arial"/>
          <w:sz w:val="24"/>
          <w:szCs w:val="24"/>
          <w:lang w:val="es-US" w:eastAsia="es-ES"/>
        </w:rPr>
        <w:t>histórico-lógico</w:t>
      </w:r>
      <w:r w:rsidR="002D6FD2" w:rsidRPr="002D6FD2">
        <w:rPr>
          <w:rFonts w:ascii="Arial" w:hAnsi="Arial" w:cs="Arial"/>
          <w:sz w:val="24"/>
          <w:szCs w:val="24"/>
          <w:lang w:val="es-CU"/>
        </w:rPr>
        <w:t xml:space="preserve"> y </w:t>
      </w:r>
      <w:r w:rsidR="003B0510">
        <w:rPr>
          <w:rFonts w:ascii="Arial" w:hAnsi="Arial" w:cs="Arial"/>
          <w:sz w:val="24"/>
          <w:szCs w:val="24"/>
          <w:lang w:val="es-CU"/>
        </w:rPr>
        <w:t xml:space="preserve">la </w:t>
      </w:r>
      <w:r w:rsidR="002D6FD2" w:rsidRPr="002D6FD2">
        <w:rPr>
          <w:rFonts w:ascii="Arial" w:hAnsi="Arial" w:cs="Arial"/>
          <w:sz w:val="24"/>
          <w:szCs w:val="24"/>
          <w:lang w:val="es-CU"/>
        </w:rPr>
        <w:t>inducción- deducción que permite</w:t>
      </w:r>
      <w:r w:rsidR="003B0510">
        <w:rPr>
          <w:rFonts w:ascii="Arial" w:hAnsi="Arial" w:cs="Arial"/>
          <w:sz w:val="24"/>
          <w:szCs w:val="24"/>
          <w:lang w:val="es-CU"/>
        </w:rPr>
        <w:t>n</w:t>
      </w:r>
      <w:r w:rsidR="002D6FD2" w:rsidRPr="002D6FD2">
        <w:rPr>
          <w:rFonts w:ascii="Arial" w:eastAsia="Calibri" w:hAnsi="Arial" w:cs="Arial"/>
          <w:sz w:val="24"/>
          <w:szCs w:val="24"/>
          <w:lang w:val="es-CU"/>
        </w:rPr>
        <w:t xml:space="preserve"> descomponer cada metodología en sus componentes </w:t>
      </w:r>
      <w:r w:rsidR="003B0510">
        <w:rPr>
          <w:rFonts w:ascii="Arial" w:eastAsia="Calibri" w:hAnsi="Arial" w:cs="Arial"/>
          <w:sz w:val="24"/>
          <w:szCs w:val="24"/>
          <w:lang w:val="es-CU"/>
        </w:rPr>
        <w:t>e</w:t>
      </w:r>
      <w:r w:rsidR="002D6FD2" w:rsidRPr="002D6FD2">
        <w:rPr>
          <w:rFonts w:ascii="Arial" w:eastAsia="Calibri" w:hAnsi="Arial" w:cs="Arial"/>
          <w:sz w:val="24"/>
          <w:szCs w:val="24"/>
          <w:lang w:val="es-CU"/>
        </w:rPr>
        <w:t xml:space="preserve"> integrar los hallazgos comparativos.</w:t>
      </w:r>
      <w:r w:rsidR="002D6FD2">
        <w:rPr>
          <w:rFonts w:ascii="Arial" w:eastAsia="Calibri" w:hAnsi="Arial" w:cs="Arial"/>
          <w:sz w:val="24"/>
          <w:szCs w:val="24"/>
          <w:lang w:val="es-CU"/>
        </w:rPr>
        <w:t xml:space="preserve"> </w:t>
      </w:r>
      <w:r w:rsidR="003B0510">
        <w:rPr>
          <w:rFonts w:ascii="Arial" w:eastAsia="Calibri" w:hAnsi="Arial" w:cs="Arial"/>
          <w:sz w:val="24"/>
          <w:szCs w:val="24"/>
          <w:lang w:val="es-CU"/>
        </w:rPr>
        <w:t>El análisis permite</w:t>
      </w:r>
      <w:r w:rsidR="006C3A85">
        <w:rPr>
          <w:rFonts w:ascii="Arial" w:eastAsia="Calibri" w:hAnsi="Arial" w:cs="Arial"/>
          <w:sz w:val="24"/>
          <w:szCs w:val="24"/>
          <w:lang w:val="es-CU"/>
        </w:rPr>
        <w:t xml:space="preserve"> reconoce</w:t>
      </w:r>
      <w:r w:rsidR="003B0510">
        <w:rPr>
          <w:rFonts w:ascii="Arial" w:eastAsia="Calibri" w:hAnsi="Arial" w:cs="Arial"/>
          <w:sz w:val="24"/>
          <w:szCs w:val="24"/>
          <w:lang w:val="es-CU"/>
        </w:rPr>
        <w:t>r</w:t>
      </w:r>
      <w:r w:rsidR="006C3A85">
        <w:rPr>
          <w:rFonts w:ascii="Arial" w:eastAsia="Calibri" w:hAnsi="Arial" w:cs="Arial"/>
          <w:sz w:val="24"/>
          <w:szCs w:val="24"/>
          <w:lang w:val="es-CU"/>
        </w:rPr>
        <w:t xml:space="preserve"> una serie de limitantes desde lo metodológico- instrumental, </w:t>
      </w:r>
      <w:r w:rsidR="006C3A85" w:rsidRPr="00B0787A">
        <w:rPr>
          <w:rFonts w:ascii="Arial" w:hAnsi="Arial" w:cs="Arial"/>
          <w:sz w:val="24"/>
          <w:szCs w:val="24"/>
          <w:lang w:val="es-CU"/>
        </w:rPr>
        <w:t xml:space="preserve">alcance, implementación y evaluación sistemática </w:t>
      </w:r>
      <w:r w:rsidR="006C3A85">
        <w:rPr>
          <w:rFonts w:ascii="Arial" w:hAnsi="Arial" w:cs="Arial"/>
          <w:sz w:val="24"/>
          <w:szCs w:val="24"/>
          <w:lang w:val="es-CU"/>
        </w:rPr>
        <w:t xml:space="preserve">en las metodologías comparadas por las que </w:t>
      </w:r>
      <w:r w:rsidR="006C3A85" w:rsidRPr="00B0787A">
        <w:rPr>
          <w:rFonts w:ascii="Arial" w:hAnsi="Arial" w:cs="Arial"/>
          <w:sz w:val="24"/>
          <w:szCs w:val="24"/>
          <w:lang w:val="es-CU"/>
        </w:rPr>
        <w:t>no</w:t>
      </w:r>
      <w:r w:rsidR="006C3A85">
        <w:rPr>
          <w:rFonts w:ascii="Arial" w:hAnsi="Arial" w:cs="Arial"/>
          <w:sz w:val="24"/>
          <w:szCs w:val="24"/>
          <w:lang w:val="es-CU"/>
        </w:rPr>
        <w:t xml:space="preserve"> se </w:t>
      </w:r>
      <w:r w:rsidR="006C3A85" w:rsidRPr="00B0787A">
        <w:rPr>
          <w:rFonts w:ascii="Arial" w:hAnsi="Arial" w:cs="Arial"/>
          <w:sz w:val="24"/>
          <w:szCs w:val="24"/>
          <w:lang w:val="es-CU"/>
        </w:rPr>
        <w:t xml:space="preserve">logra </w:t>
      </w:r>
      <w:r w:rsidR="006C3A85">
        <w:rPr>
          <w:rFonts w:ascii="Arial" w:hAnsi="Arial" w:cs="Arial"/>
          <w:sz w:val="24"/>
          <w:szCs w:val="24"/>
          <w:lang w:val="es-CU"/>
        </w:rPr>
        <w:t>su estandarización y</w:t>
      </w:r>
      <w:r w:rsidR="006C3A85">
        <w:rPr>
          <w:rFonts w:ascii="Arial" w:eastAsia="Calibri" w:hAnsi="Arial" w:cs="Arial"/>
          <w:sz w:val="24"/>
          <w:szCs w:val="24"/>
          <w:lang w:val="es-CU"/>
        </w:rPr>
        <w:t xml:space="preserve"> </w:t>
      </w:r>
      <w:r w:rsidR="002D6FD2">
        <w:rPr>
          <w:rFonts w:ascii="Arial" w:eastAsia="Calibri" w:hAnsi="Arial" w:cs="Arial"/>
          <w:sz w:val="24"/>
          <w:szCs w:val="24"/>
          <w:lang w:val="es-CU"/>
        </w:rPr>
        <w:t>evidencia, que l</w:t>
      </w:r>
      <w:r w:rsidR="002D6FD2" w:rsidRPr="002D6FD2">
        <w:rPr>
          <w:rFonts w:ascii="Arial" w:eastAsia="Calibri" w:hAnsi="Arial" w:cs="Arial"/>
          <w:sz w:val="24"/>
          <w:szCs w:val="24"/>
          <w:lang w:val="es-CU"/>
        </w:rPr>
        <w:t>ejos de constituir paradigmas mutuamente excluyentes, las encuestas estadísticas y las herramientas de IA se ubican en un continuo metodológico complementario</w:t>
      </w:r>
      <w:r w:rsidR="002D6FD2">
        <w:rPr>
          <w:rFonts w:ascii="Arial" w:eastAsia="Calibri" w:hAnsi="Arial" w:cs="Arial"/>
          <w:sz w:val="24"/>
          <w:szCs w:val="24"/>
          <w:lang w:val="es-CU"/>
        </w:rPr>
        <w:t>,</w:t>
      </w:r>
      <w:r w:rsidR="002D6FD2" w:rsidRPr="002D6FD2">
        <w:rPr>
          <w:rFonts w:ascii="Arial" w:eastAsia="Calibri" w:hAnsi="Arial" w:cs="Arial"/>
          <w:sz w:val="24"/>
          <w:szCs w:val="24"/>
          <w:lang w:val="es-CU"/>
        </w:rPr>
        <w:t xml:space="preserve"> </w:t>
      </w:r>
      <w:r w:rsidR="002D6FD2">
        <w:rPr>
          <w:rFonts w:ascii="Arial" w:eastAsia="Calibri" w:hAnsi="Arial" w:cs="Arial"/>
          <w:sz w:val="24"/>
          <w:szCs w:val="24"/>
          <w:lang w:val="es-CU"/>
        </w:rPr>
        <w:t>m</w:t>
      </w:r>
      <w:r w:rsidR="002D6FD2" w:rsidRPr="002D6FD2">
        <w:rPr>
          <w:rFonts w:ascii="Arial" w:eastAsia="Calibri" w:hAnsi="Arial" w:cs="Arial"/>
          <w:sz w:val="24"/>
          <w:szCs w:val="24"/>
          <w:lang w:val="es-CU"/>
        </w:rPr>
        <w:t xml:space="preserve">ientras las primeras aportan validez conceptual, representatividad muestral y comparabilidad institucional, las segundas ofrecen oportunidad, granularidad y capacidad de captar fenómenos emergentes no contemplados en los marcos clásicos. </w:t>
      </w:r>
    </w:p>
    <w:p w14:paraId="1E93F062" w14:textId="04028F40" w:rsidR="002D6FD2" w:rsidRDefault="003B0510" w:rsidP="00AF7ADF">
      <w:pPr>
        <w:spacing w:after="0" w:line="240" w:lineRule="auto"/>
        <w:jc w:val="both"/>
        <w:rPr>
          <w:rFonts w:ascii="Arial" w:hAnsi="Arial" w:cs="Arial"/>
          <w:sz w:val="24"/>
          <w:szCs w:val="24"/>
          <w:lang w:val="es-CU"/>
        </w:rPr>
      </w:pPr>
      <w:r>
        <w:rPr>
          <w:rFonts w:ascii="Arial" w:hAnsi="Arial" w:cs="Arial"/>
          <w:b/>
          <w:bCs/>
          <w:sz w:val="24"/>
          <w:szCs w:val="24"/>
          <w:lang w:val="es-CU"/>
        </w:rPr>
        <w:t xml:space="preserve">Palabras claves: </w:t>
      </w:r>
      <w:r w:rsidRPr="003B0510">
        <w:rPr>
          <w:rFonts w:ascii="Arial" w:hAnsi="Arial" w:cs="Arial"/>
          <w:sz w:val="24"/>
          <w:szCs w:val="24"/>
          <w:lang w:val="es-CU"/>
        </w:rPr>
        <w:t>evaluación de la innovación; encuestas de innovación; inteligencia artificial; indicadores de innovación.</w:t>
      </w:r>
    </w:p>
    <w:p w14:paraId="1E1CF0F0" w14:textId="37ED7C82" w:rsidR="0038253C" w:rsidRDefault="0038253C" w:rsidP="00AF7ADF">
      <w:pPr>
        <w:spacing w:after="120" w:line="240" w:lineRule="auto"/>
        <w:jc w:val="both"/>
        <w:rPr>
          <w:rFonts w:ascii="Arial" w:hAnsi="Arial" w:cs="Arial"/>
          <w:b/>
          <w:bCs/>
          <w:sz w:val="24"/>
          <w:szCs w:val="24"/>
        </w:rPr>
      </w:pPr>
      <w:r>
        <w:rPr>
          <w:rFonts w:ascii="Arial" w:hAnsi="Arial" w:cs="Arial"/>
          <w:b/>
          <w:bCs/>
          <w:sz w:val="24"/>
          <w:szCs w:val="24"/>
        </w:rPr>
        <w:t>INTRODUCCION</w:t>
      </w:r>
    </w:p>
    <w:p w14:paraId="2BE95B78" w14:textId="44F3A3F1" w:rsidR="00673099" w:rsidRDefault="00A95AF9" w:rsidP="00AF7ADF">
      <w:pPr>
        <w:spacing w:after="120" w:line="240" w:lineRule="auto"/>
        <w:jc w:val="both"/>
        <w:rPr>
          <w:rFonts w:ascii="Arial" w:eastAsia="Calibri" w:hAnsi="Arial" w:cs="Arial"/>
          <w:sz w:val="24"/>
          <w:szCs w:val="24"/>
        </w:rPr>
      </w:pPr>
      <w:r w:rsidRPr="00A95AF9">
        <w:rPr>
          <w:rFonts w:ascii="Arial" w:eastAsia="Calibri" w:hAnsi="Arial" w:cs="Arial"/>
          <w:sz w:val="24"/>
          <w:szCs w:val="24"/>
        </w:rPr>
        <w:t>El proceso de innovación ha sido representado a lo largo de casi un siglo por una sucesión de modelos teóricos que, lejos de sustituirse linealmente unos a otros, coexisten y se reinterpretan a la luz de nuevos desafíos organizacionales, ambientales y tecnológicos.</w:t>
      </w:r>
      <w:r>
        <w:rPr>
          <w:rFonts w:ascii="Arial" w:eastAsia="Calibri" w:hAnsi="Arial" w:cs="Arial"/>
          <w:sz w:val="24"/>
          <w:szCs w:val="24"/>
        </w:rPr>
        <w:t xml:space="preserve"> </w:t>
      </w:r>
      <w:r w:rsidRPr="00A95AF9">
        <w:rPr>
          <w:rFonts w:ascii="Arial" w:eastAsia="Calibri" w:hAnsi="Arial" w:cs="Arial"/>
          <w:sz w:val="24"/>
          <w:szCs w:val="24"/>
        </w:rPr>
        <w:t>Rothwell (1994)</w:t>
      </w:r>
      <w:r w:rsidR="00C03A52">
        <w:rPr>
          <w:rFonts w:ascii="Arial" w:eastAsia="Calibri" w:hAnsi="Arial" w:cs="Arial"/>
          <w:sz w:val="24"/>
          <w:szCs w:val="24"/>
        </w:rPr>
        <w:t xml:space="preserve"> </w:t>
      </w:r>
      <w:r w:rsidRPr="00A95AF9">
        <w:rPr>
          <w:rFonts w:ascii="Arial" w:eastAsia="Calibri" w:hAnsi="Arial" w:cs="Arial"/>
          <w:sz w:val="24"/>
          <w:szCs w:val="24"/>
        </w:rPr>
        <w:t>sistematiza esta evolución en un esquema de generaciones —desde el impulso tecnológico y el tirón de mercado de los años sesenta y setenta, hasta los modelos interactivos, integrados y en red de los años ochenta y noventa— que continúa siendo el marco de referencia más citado para ordenar cronológicamente la literatura sobre gestión de la innovación.</w:t>
      </w:r>
      <w:r>
        <w:rPr>
          <w:rFonts w:ascii="Arial" w:eastAsia="Calibri" w:hAnsi="Arial" w:cs="Arial"/>
          <w:sz w:val="24"/>
          <w:szCs w:val="24"/>
        </w:rPr>
        <w:t xml:space="preserve"> </w:t>
      </w:r>
      <w:r w:rsidRPr="00A95AF9">
        <w:rPr>
          <w:rFonts w:ascii="Arial" w:eastAsia="Calibri" w:hAnsi="Arial" w:cs="Arial"/>
          <w:sz w:val="24"/>
          <w:szCs w:val="24"/>
        </w:rPr>
        <w:t xml:space="preserve">Este itinerario teórico no se ha detenido, autores como </w:t>
      </w:r>
      <w:r w:rsidRPr="00A95AF9">
        <w:rPr>
          <w:rFonts w:ascii="Arial" w:hAnsi="Arial" w:cs="Arial"/>
          <w:sz w:val="24"/>
          <w:szCs w:val="24"/>
        </w:rPr>
        <w:t xml:space="preserve">Wiebke &amp; Wolfgang (2018) </w:t>
      </w:r>
      <w:r w:rsidRPr="00A95AF9">
        <w:rPr>
          <w:rFonts w:ascii="Arial" w:eastAsia="Arial" w:hAnsi="Arial" w:cs="Arial"/>
          <w:sz w:val="24"/>
          <w:szCs w:val="24"/>
        </w:rPr>
        <w:t xml:space="preserve">y Szymanska &amp; Berbel (2024) </w:t>
      </w:r>
      <w:r w:rsidRPr="00A95AF9">
        <w:rPr>
          <w:rFonts w:ascii="Arial" w:eastAsia="Arial" w:hAnsi="Arial" w:cs="Arial"/>
          <w:sz w:val="24"/>
          <w:szCs w:val="24"/>
        </w:rPr>
        <w:lastRenderedPageBreak/>
        <w:t>presentan</w:t>
      </w:r>
      <w:r>
        <w:rPr>
          <w:rFonts w:ascii="Arial" w:eastAsia="Arial" w:hAnsi="Arial" w:cs="Arial"/>
          <w:sz w:val="24"/>
          <w:szCs w:val="24"/>
        </w:rPr>
        <w:t xml:space="preserve"> como</w:t>
      </w:r>
      <w:r w:rsidRPr="00A95AF9">
        <w:rPr>
          <w:rFonts w:ascii="Arial" w:eastAsia="Calibri" w:hAnsi="Arial" w:cs="Arial"/>
          <w:sz w:val="24"/>
          <w:szCs w:val="24"/>
        </w:rPr>
        <w:t xml:space="preserve"> la incorporación de criterios de sostenibilidad ambiental, social y de gobernanza ha llevado a revisar los modelos clásicos, mientras que, de forma más reciente y acelerada, la irrupción de la inteligencia artificial generativa y predictiva ha comenzado a transformar tanto las herramientas como los supuestos estructurales de dichos modelos</w:t>
      </w:r>
      <w:r w:rsidR="00693E18">
        <w:rPr>
          <w:rFonts w:ascii="Arial" w:eastAsia="Calibri" w:hAnsi="Arial" w:cs="Arial"/>
          <w:sz w:val="24"/>
          <w:szCs w:val="24"/>
        </w:rPr>
        <w:t>.</w:t>
      </w:r>
      <w:r w:rsidR="008F5522">
        <w:rPr>
          <w:rFonts w:ascii="Arial" w:eastAsia="Calibri" w:hAnsi="Arial" w:cs="Arial"/>
          <w:sz w:val="24"/>
          <w:szCs w:val="24"/>
        </w:rPr>
        <w:t xml:space="preserve"> </w:t>
      </w:r>
      <w:r w:rsidR="00673099">
        <w:rPr>
          <w:rFonts w:ascii="Arial" w:eastAsia="Calibri" w:hAnsi="Arial" w:cs="Arial"/>
          <w:sz w:val="24"/>
          <w:szCs w:val="24"/>
        </w:rPr>
        <w:t xml:space="preserve">Sin embargo, </w:t>
      </w:r>
      <w:r w:rsidR="00330E08">
        <w:rPr>
          <w:rFonts w:ascii="Arial" w:eastAsia="Calibri" w:hAnsi="Arial" w:cs="Arial"/>
          <w:sz w:val="24"/>
          <w:szCs w:val="24"/>
        </w:rPr>
        <w:t>esta evolución</w:t>
      </w:r>
      <w:r w:rsidR="00673099" w:rsidRPr="00673099">
        <w:rPr>
          <w:rFonts w:ascii="Arial" w:eastAsia="Calibri" w:hAnsi="Arial" w:cs="Arial"/>
          <w:sz w:val="24"/>
          <w:szCs w:val="24"/>
        </w:rPr>
        <w:t xml:space="preserve"> conceptual</w:t>
      </w:r>
      <w:r w:rsidR="00330E08">
        <w:rPr>
          <w:rFonts w:ascii="Arial" w:eastAsia="Calibri" w:hAnsi="Arial" w:cs="Arial"/>
          <w:sz w:val="24"/>
          <w:szCs w:val="24"/>
        </w:rPr>
        <w:t>, como resultado</w:t>
      </w:r>
      <w:r w:rsidR="00673099" w:rsidRPr="00673099">
        <w:rPr>
          <w:rFonts w:ascii="Arial" w:eastAsia="Calibri" w:hAnsi="Arial" w:cs="Arial"/>
          <w:sz w:val="24"/>
          <w:szCs w:val="24"/>
        </w:rPr>
        <w:t xml:space="preserve"> tanto a la acumulación de evidencia empírica</w:t>
      </w:r>
      <w:r w:rsidR="00330E08">
        <w:rPr>
          <w:rFonts w:ascii="Arial" w:eastAsia="Calibri" w:hAnsi="Arial" w:cs="Arial"/>
          <w:sz w:val="24"/>
          <w:szCs w:val="24"/>
        </w:rPr>
        <w:t xml:space="preserve">, como a </w:t>
      </w:r>
      <w:r w:rsidR="00673099" w:rsidRPr="00673099">
        <w:rPr>
          <w:rFonts w:ascii="Arial" w:eastAsia="Calibri" w:hAnsi="Arial" w:cs="Arial"/>
          <w:sz w:val="24"/>
          <w:szCs w:val="24"/>
        </w:rPr>
        <w:t>la urgencia de</w:t>
      </w:r>
      <w:r w:rsidR="00330E08">
        <w:rPr>
          <w:rFonts w:ascii="Arial" w:eastAsia="Calibri" w:hAnsi="Arial" w:cs="Arial"/>
          <w:sz w:val="24"/>
          <w:szCs w:val="24"/>
        </w:rPr>
        <w:t xml:space="preserve"> los cambios en el entorno y </w:t>
      </w:r>
      <w:r w:rsidR="00673099" w:rsidRPr="00673099">
        <w:rPr>
          <w:rFonts w:ascii="Arial" w:eastAsia="Calibri" w:hAnsi="Arial" w:cs="Arial"/>
          <w:sz w:val="24"/>
          <w:szCs w:val="24"/>
        </w:rPr>
        <w:t>la digitalización acelerada</w:t>
      </w:r>
      <w:r w:rsidR="00330E08">
        <w:rPr>
          <w:rFonts w:ascii="Arial" w:eastAsia="Calibri" w:hAnsi="Arial" w:cs="Arial"/>
          <w:sz w:val="24"/>
          <w:szCs w:val="24"/>
        </w:rPr>
        <w:t xml:space="preserve">, no se evidencia igual en las metodologías e indicadores de evaluación de la innovación. </w:t>
      </w:r>
    </w:p>
    <w:p w14:paraId="2F3FC4F7" w14:textId="77777777" w:rsidR="00CF4618" w:rsidRDefault="00CF4618" w:rsidP="00AF7ADF">
      <w:pPr>
        <w:spacing w:after="120" w:line="240" w:lineRule="auto"/>
        <w:jc w:val="both"/>
        <w:rPr>
          <w:rFonts w:ascii="Arial" w:eastAsia="Calibri" w:hAnsi="Arial" w:cs="Arial"/>
          <w:sz w:val="24"/>
          <w:szCs w:val="24"/>
        </w:rPr>
      </w:pPr>
      <w:r w:rsidRPr="00446075">
        <w:rPr>
          <w:rFonts w:ascii="Arial" w:eastAsia="Calibri" w:hAnsi="Arial" w:cs="Arial"/>
          <w:sz w:val="24"/>
          <w:szCs w:val="24"/>
        </w:rPr>
        <w:t>La literatura científica confirma que la medición de innovación ha evolucionado desde indicadores tradicionales hacia sistemas más complejos, según Sancho (2002) en 1930 se llevaron a cabo en la Unión Soviética los primeros intentos de medición de la investigación y el desarrollo experimental (I+D), aplicando datos estadísticos, y en 1940, se iniciaron en los EEUU. Sin embargo, no fue hasta 1950 cuando la National Science Fundation (NSF), de EEUU, comenzó a enviar periódicamente a las empresas norteamericanas encuestas para recabar datos estadísticos de la I+D. Entre los años cincuenta y sesenta se establecieron los primeros indicadores de I+D, éstos fueron los de inversiones y gastos, a los que se añadieron, en la década siguiente, los de patentes y balanza de pagos tecnológicos. En los años ochenta, surgió la Bibliometría, y con su uso los indicadores bibliométricos de resultados de la ciencia. Se establecen también los indicadores de recursos humanos y los de productos de alta tecnología. Al mismo tiempo, comenzaron a enviarse a las empresas las primeras encuestas sobre innovación tecnológica, para la obtención de indicadores de innovación. En los años noventa, hay que añadir a esta lista nuevos indicadores, como son los de tecnologías de la información y las comunicaciones, o los de la sociedad de la información</w:t>
      </w:r>
      <w:r>
        <w:rPr>
          <w:rFonts w:ascii="Arial" w:eastAsia="Calibri" w:hAnsi="Arial" w:cs="Arial"/>
          <w:sz w:val="24"/>
          <w:szCs w:val="24"/>
        </w:rPr>
        <w:t>.</w:t>
      </w:r>
    </w:p>
    <w:p w14:paraId="7B8A630E" w14:textId="57D1BC6F" w:rsidR="00CF4618" w:rsidRPr="00CF4618" w:rsidRDefault="00CF4618" w:rsidP="00AF7ADF">
      <w:pPr>
        <w:spacing w:after="120" w:line="240" w:lineRule="auto"/>
        <w:jc w:val="both"/>
        <w:rPr>
          <w:rFonts w:ascii="Arial" w:eastAsia="Calibri" w:hAnsi="Arial" w:cs="Arial"/>
          <w:sz w:val="24"/>
          <w:szCs w:val="24"/>
        </w:rPr>
      </w:pPr>
      <w:r>
        <w:rPr>
          <w:rFonts w:ascii="Arial" w:eastAsia="Calibri" w:hAnsi="Arial" w:cs="Arial"/>
          <w:sz w:val="24"/>
          <w:szCs w:val="24"/>
        </w:rPr>
        <w:t>El propio</w:t>
      </w:r>
      <w:r w:rsidRPr="00330E08">
        <w:rPr>
          <w:rFonts w:ascii="Arial" w:eastAsia="Calibri" w:hAnsi="Arial" w:cs="Arial"/>
          <w:sz w:val="24"/>
          <w:szCs w:val="24"/>
        </w:rPr>
        <w:t xml:space="preserve"> Manual de Oslo </w:t>
      </w:r>
      <w:r w:rsidRPr="00330E08">
        <w:rPr>
          <w:rFonts w:ascii="Arial" w:eastAsia="Calibri" w:hAnsi="Arial" w:cs="Arial"/>
          <w:sz w:val="24"/>
          <w:szCs w:val="24"/>
          <w:lang w:val="es-CU"/>
        </w:rPr>
        <w:t>(</w:t>
      </w:r>
      <w:r w:rsidRPr="00330E08">
        <w:rPr>
          <w:rFonts w:ascii="Arial" w:eastAsia="Calibri" w:hAnsi="Arial" w:cs="Arial"/>
          <w:sz w:val="24"/>
          <w:szCs w:val="24"/>
        </w:rPr>
        <w:t>2018</w:t>
      </w:r>
      <w:r>
        <w:rPr>
          <w:rFonts w:ascii="Arial" w:eastAsia="Calibri" w:hAnsi="Arial" w:cs="Arial"/>
          <w:sz w:val="24"/>
          <w:szCs w:val="24"/>
        </w:rPr>
        <w:t>)</w:t>
      </w:r>
      <w:r w:rsidRPr="00330E08">
        <w:rPr>
          <w:rFonts w:ascii="Arial" w:eastAsia="Calibri" w:hAnsi="Arial" w:cs="Arial"/>
          <w:sz w:val="24"/>
          <w:szCs w:val="24"/>
        </w:rPr>
        <w:t xml:space="preserve"> reconoce explícitamente que los indicadores deben permitir estudiar no solamente las actividades innovadoras, sino también sus consecuencias económicas, sociales y ambientales</w:t>
      </w:r>
      <w:r>
        <w:rPr>
          <w:rFonts w:ascii="Arial" w:eastAsia="Calibri" w:hAnsi="Arial" w:cs="Arial"/>
          <w:sz w:val="24"/>
          <w:szCs w:val="24"/>
        </w:rPr>
        <w:t xml:space="preserve">. </w:t>
      </w:r>
      <w:r w:rsidRPr="006740E5">
        <w:rPr>
          <w:rFonts w:ascii="Arial" w:eastAsia="Calibri" w:hAnsi="Arial" w:cs="Arial"/>
          <w:sz w:val="24"/>
          <w:szCs w:val="24"/>
        </w:rPr>
        <w:t>Más recientemente, una revisión sistemática de 172 artículos de Scopus y Web of Science</w:t>
      </w:r>
      <w:r>
        <w:rPr>
          <w:rFonts w:ascii="Arial" w:eastAsia="Calibri" w:hAnsi="Arial" w:cs="Arial"/>
          <w:sz w:val="24"/>
          <w:szCs w:val="24"/>
        </w:rPr>
        <w:t xml:space="preserve"> (</w:t>
      </w:r>
      <w:r w:rsidRPr="00D32705">
        <w:rPr>
          <w:rFonts w:ascii="Arial" w:eastAsia="Calibri" w:hAnsi="Arial" w:cs="Arial"/>
          <w:sz w:val="24"/>
          <w:szCs w:val="24"/>
          <w:lang w:val="es-CU"/>
        </w:rPr>
        <w:t>Stundziene</w:t>
      </w:r>
      <w:r>
        <w:rPr>
          <w:rFonts w:ascii="Arial" w:eastAsia="Calibri" w:hAnsi="Arial" w:cs="Arial"/>
          <w:sz w:val="24"/>
          <w:szCs w:val="24"/>
          <w:lang w:val="es-CU"/>
        </w:rPr>
        <w:t xml:space="preserve"> et. al., 2024) </w:t>
      </w:r>
      <w:r>
        <w:rPr>
          <w:rFonts w:ascii="Arial" w:eastAsia="Calibri" w:hAnsi="Arial" w:cs="Arial"/>
          <w:sz w:val="24"/>
          <w:szCs w:val="24"/>
        </w:rPr>
        <w:t>presenta</w:t>
      </w:r>
      <w:r w:rsidRPr="006740E5">
        <w:rPr>
          <w:rFonts w:ascii="Arial" w:eastAsia="Calibri" w:hAnsi="Arial" w:cs="Arial"/>
          <w:sz w:val="24"/>
          <w:szCs w:val="24"/>
        </w:rPr>
        <w:t xml:space="preserve"> que existen importantes diferencias en la forma de medir innovación y que muchos estudios utilizan indicadores que no están necesariamente bien alineados con el tipo específico de innovación </w:t>
      </w:r>
      <w:r>
        <w:rPr>
          <w:rFonts w:ascii="Arial" w:eastAsia="Calibri" w:hAnsi="Arial" w:cs="Arial"/>
          <w:sz w:val="24"/>
          <w:szCs w:val="24"/>
        </w:rPr>
        <w:t>analizado</w:t>
      </w:r>
      <w:r w:rsidRPr="006740E5">
        <w:rPr>
          <w:rFonts w:ascii="Arial" w:eastAsia="Calibri" w:hAnsi="Arial" w:cs="Arial"/>
          <w:sz w:val="24"/>
          <w:szCs w:val="24"/>
        </w:rPr>
        <w:t>.</w:t>
      </w:r>
      <w:r>
        <w:rPr>
          <w:rFonts w:ascii="Arial" w:eastAsia="Calibri" w:hAnsi="Arial" w:cs="Arial"/>
          <w:sz w:val="24"/>
          <w:szCs w:val="24"/>
        </w:rPr>
        <w:t xml:space="preserve"> </w:t>
      </w:r>
      <w:r w:rsidR="00D476CE">
        <w:rPr>
          <w:rFonts w:ascii="Arial" w:eastAsia="Calibri" w:hAnsi="Arial" w:cs="Arial"/>
          <w:sz w:val="24"/>
          <w:szCs w:val="24"/>
        </w:rPr>
        <w:t xml:space="preserve">El </w:t>
      </w:r>
      <w:r w:rsidR="00D476CE" w:rsidRPr="00D476CE">
        <w:rPr>
          <w:rFonts w:ascii="Arial" w:eastAsia="Calibri" w:hAnsi="Arial" w:cs="Arial"/>
          <w:sz w:val="24"/>
          <w:szCs w:val="24"/>
        </w:rPr>
        <w:t>World Intellectual Property Organization (</w:t>
      </w:r>
      <w:r w:rsidR="00E53716">
        <w:rPr>
          <w:rFonts w:ascii="Arial" w:eastAsia="Calibri" w:hAnsi="Arial" w:cs="Arial"/>
          <w:sz w:val="24"/>
          <w:szCs w:val="24"/>
        </w:rPr>
        <w:t xml:space="preserve">WIPO, </w:t>
      </w:r>
      <w:r w:rsidR="00D476CE" w:rsidRPr="00D476CE">
        <w:rPr>
          <w:rFonts w:ascii="Arial" w:eastAsia="Calibri" w:hAnsi="Arial" w:cs="Arial"/>
          <w:sz w:val="24"/>
          <w:szCs w:val="24"/>
        </w:rPr>
        <w:t>2025)</w:t>
      </w:r>
      <w:r w:rsidR="00836C91">
        <w:rPr>
          <w:rFonts w:ascii="Arial" w:eastAsia="Calibri" w:hAnsi="Arial" w:cs="Arial"/>
          <w:sz w:val="24"/>
          <w:szCs w:val="24"/>
        </w:rPr>
        <w:t xml:space="preserve"> reconoce que l</w:t>
      </w:r>
      <w:r w:rsidR="00D476CE" w:rsidRPr="00D476CE">
        <w:rPr>
          <w:rFonts w:ascii="Arial" w:eastAsia="Calibri" w:hAnsi="Arial" w:cs="Arial"/>
          <w:sz w:val="24"/>
          <w:szCs w:val="24"/>
        </w:rPr>
        <w:t>as medidas oficiales directas que cuantifican los resultados de la innovación siguen siendo excepcionalmente limitadas</w:t>
      </w:r>
      <w:r w:rsidR="00836C91">
        <w:rPr>
          <w:rFonts w:ascii="Arial" w:eastAsia="Calibri" w:hAnsi="Arial" w:cs="Arial"/>
          <w:sz w:val="24"/>
          <w:szCs w:val="24"/>
        </w:rPr>
        <w:t>, p</w:t>
      </w:r>
      <w:r w:rsidR="00D476CE" w:rsidRPr="00D476CE">
        <w:rPr>
          <w:rFonts w:ascii="Arial" w:eastAsia="Calibri" w:hAnsi="Arial" w:cs="Arial"/>
          <w:sz w:val="24"/>
          <w:szCs w:val="24"/>
        </w:rPr>
        <w:t xml:space="preserve">or ejemplo, </w:t>
      </w:r>
      <w:r w:rsidR="00836C91">
        <w:rPr>
          <w:rFonts w:ascii="Arial" w:eastAsia="Calibri" w:hAnsi="Arial" w:cs="Arial"/>
          <w:sz w:val="24"/>
          <w:szCs w:val="24"/>
        </w:rPr>
        <w:t>l</w:t>
      </w:r>
      <w:r w:rsidR="00D476CE" w:rsidRPr="00D476CE">
        <w:rPr>
          <w:rFonts w:ascii="Arial" w:eastAsia="Calibri" w:hAnsi="Arial" w:cs="Arial"/>
          <w:sz w:val="24"/>
          <w:szCs w:val="24"/>
        </w:rPr>
        <w:t xml:space="preserve">a mayoría de los enfoques de medición </w:t>
      </w:r>
      <w:r>
        <w:rPr>
          <w:rFonts w:ascii="Arial" w:eastAsia="Calibri" w:hAnsi="Arial" w:cs="Arial"/>
          <w:sz w:val="24"/>
          <w:szCs w:val="24"/>
        </w:rPr>
        <w:t>no</w:t>
      </w:r>
      <w:r w:rsidR="00D476CE" w:rsidRPr="00D476CE">
        <w:rPr>
          <w:rFonts w:ascii="Arial" w:eastAsia="Calibri" w:hAnsi="Arial" w:cs="Arial"/>
          <w:sz w:val="24"/>
          <w:szCs w:val="24"/>
        </w:rPr>
        <w:t xml:space="preserve"> logran capturar adecuadamente los resultados de la innovación de un espectro más amplio de actores</w:t>
      </w:r>
      <w:r>
        <w:rPr>
          <w:rFonts w:ascii="Arial" w:eastAsia="Calibri" w:hAnsi="Arial" w:cs="Arial"/>
          <w:sz w:val="24"/>
          <w:szCs w:val="24"/>
        </w:rPr>
        <w:t xml:space="preserve">. </w:t>
      </w:r>
    </w:p>
    <w:p w14:paraId="16E58695" w14:textId="27DB1B91" w:rsidR="00D476CE" w:rsidRPr="00D476CE" w:rsidRDefault="00836C91" w:rsidP="00AF7ADF">
      <w:pPr>
        <w:spacing w:after="120" w:line="240" w:lineRule="auto"/>
        <w:jc w:val="both"/>
        <w:rPr>
          <w:rFonts w:ascii="Arial" w:eastAsia="Calibri" w:hAnsi="Arial" w:cs="Arial"/>
          <w:sz w:val="24"/>
          <w:szCs w:val="24"/>
          <w:lang w:val="es-CU"/>
        </w:rPr>
      </w:pPr>
      <w:r>
        <w:rPr>
          <w:rFonts w:ascii="Arial" w:eastAsia="Calibri" w:hAnsi="Arial" w:cs="Arial"/>
          <w:sz w:val="24"/>
          <w:szCs w:val="24"/>
        </w:rPr>
        <w:t>Por otro lado, l</w:t>
      </w:r>
      <w:r w:rsidR="00D476CE" w:rsidRPr="00D476CE">
        <w:rPr>
          <w:rFonts w:ascii="Arial" w:eastAsia="Calibri" w:hAnsi="Arial" w:cs="Arial"/>
          <w:sz w:val="24"/>
          <w:szCs w:val="24"/>
        </w:rPr>
        <w:t>a aparición de herramientas de innovación basadas en inteligencia artificial</w:t>
      </w:r>
      <w:r w:rsidR="00634F56">
        <w:rPr>
          <w:rFonts w:ascii="Arial" w:eastAsia="Calibri" w:hAnsi="Arial" w:cs="Arial"/>
          <w:sz w:val="24"/>
          <w:szCs w:val="24"/>
        </w:rPr>
        <w:t xml:space="preserve"> (IA) </w:t>
      </w:r>
      <w:r w:rsidR="00D476CE" w:rsidRPr="00D476CE">
        <w:rPr>
          <w:rFonts w:ascii="Arial" w:eastAsia="Calibri" w:hAnsi="Arial" w:cs="Arial"/>
          <w:sz w:val="24"/>
          <w:szCs w:val="24"/>
        </w:rPr>
        <w:t>y plataformas de colaboración digital ha alterado fundamentalmente la velocidad y la escala a la que se pueden probar, refinar e implementar las ideas creativas, lo que exige nuevos enfoques de medición</w:t>
      </w:r>
      <w:r w:rsidR="00F54953">
        <w:rPr>
          <w:rFonts w:ascii="Arial" w:eastAsia="Calibri" w:hAnsi="Arial" w:cs="Arial"/>
          <w:sz w:val="24"/>
          <w:szCs w:val="24"/>
        </w:rPr>
        <w:t xml:space="preserve">. </w:t>
      </w:r>
      <w:r w:rsidR="00CF4618" w:rsidRPr="00144CC8">
        <w:rPr>
          <w:rFonts w:ascii="Arial" w:eastAsia="Times New Roman" w:hAnsi="Arial" w:cs="Arial"/>
          <w:sz w:val="24"/>
          <w:szCs w:val="24"/>
        </w:rPr>
        <w:t>En este sentido, WIPO lanzó en 2024 el GII–iLens Innovation Data Lab para explorar nuevas métricas, pilotar indicadores y probar fuentes de datos emergentes (WIPO, 2025).</w:t>
      </w:r>
    </w:p>
    <w:p w14:paraId="40619D5D" w14:textId="02023E08" w:rsidR="005C7538" w:rsidRDefault="00D476CE" w:rsidP="00AF7ADF">
      <w:pPr>
        <w:spacing w:after="120" w:line="240" w:lineRule="auto"/>
        <w:jc w:val="both"/>
        <w:rPr>
          <w:rFonts w:ascii="Arial" w:eastAsia="Calibri" w:hAnsi="Arial" w:cs="Arial"/>
          <w:sz w:val="24"/>
          <w:szCs w:val="24"/>
        </w:rPr>
      </w:pPr>
      <w:r>
        <w:rPr>
          <w:rFonts w:ascii="Arial" w:eastAsia="Calibri" w:hAnsi="Arial" w:cs="Arial"/>
          <w:sz w:val="24"/>
          <w:szCs w:val="24"/>
          <w:lang w:val="es-CU"/>
        </w:rPr>
        <w:t>En este contexto, l</w:t>
      </w:r>
      <w:r w:rsidR="005C7538" w:rsidRPr="002D6FD2">
        <w:rPr>
          <w:rFonts w:ascii="Arial" w:eastAsia="Times New Roman" w:hAnsi="Arial" w:cs="Arial"/>
          <w:sz w:val="24"/>
          <w:szCs w:val="24"/>
          <w:lang w:val="es-CU"/>
        </w:rPr>
        <w:t>a presente investigación tiene como objetivo analizar evolutiva y comparativamente</w:t>
      </w:r>
      <w:r w:rsidR="005C7538" w:rsidRPr="002D6FD2">
        <w:rPr>
          <w:rFonts w:ascii="Arial" w:eastAsia="Calibri" w:hAnsi="Arial" w:cs="Arial"/>
          <w:sz w:val="24"/>
          <w:szCs w:val="24"/>
          <w:lang w:val="es-CU"/>
        </w:rPr>
        <w:t xml:space="preserve"> las metodologías e indicadores de medición de la innovación contenidos en los principales manuales internacionales de referencia, el Sistema Nacional de Indicadores de C</w:t>
      </w:r>
      <w:r w:rsidR="005C7538">
        <w:rPr>
          <w:rFonts w:ascii="Arial" w:eastAsia="Calibri" w:hAnsi="Arial" w:cs="Arial"/>
          <w:sz w:val="24"/>
          <w:szCs w:val="24"/>
          <w:lang w:val="es-CU"/>
        </w:rPr>
        <w:t>TI del</w:t>
      </w:r>
      <w:r w:rsidR="005C7538" w:rsidRPr="002D6FD2">
        <w:rPr>
          <w:rFonts w:ascii="Arial" w:eastAsia="Calibri" w:hAnsi="Arial" w:cs="Arial"/>
          <w:sz w:val="24"/>
          <w:szCs w:val="24"/>
          <w:lang w:val="es-CU"/>
        </w:rPr>
        <w:t xml:space="preserve"> CITMA en Cuba y </w:t>
      </w:r>
      <w:r w:rsidR="005C7538" w:rsidRPr="002D6FD2">
        <w:rPr>
          <w:rFonts w:ascii="Arial" w:eastAsia="Times New Roman" w:hAnsi="Arial" w:cs="Arial"/>
          <w:sz w:val="24"/>
          <w:szCs w:val="24"/>
          <w:lang w:val="es-CU"/>
        </w:rPr>
        <w:t xml:space="preserve">estudios recientes desarrollados </w:t>
      </w:r>
      <w:r w:rsidR="005C7538" w:rsidRPr="002D6FD2">
        <w:rPr>
          <w:rFonts w:ascii="Arial" w:eastAsia="Times New Roman" w:hAnsi="Arial" w:cs="Arial"/>
          <w:sz w:val="24"/>
          <w:szCs w:val="24"/>
          <w:lang w:val="es-CU"/>
        </w:rPr>
        <w:lastRenderedPageBreak/>
        <w:t>de indicadores dinámicos que incorporan información textual extraída mediante técnicas de aprendizaje automático</w:t>
      </w:r>
      <w:r w:rsidR="005C7538" w:rsidRPr="002D6FD2">
        <w:rPr>
          <w:rFonts w:ascii="Arial" w:eastAsia="Calibri" w:hAnsi="Arial" w:cs="Arial"/>
          <w:sz w:val="24"/>
          <w:szCs w:val="24"/>
          <w:lang w:val="es-CU"/>
        </w:rPr>
        <w:t xml:space="preserve">, con el propósito de identificar sus convergencias, divergencias y </w:t>
      </w:r>
      <w:r w:rsidR="005C7538" w:rsidRPr="002D6FD2">
        <w:rPr>
          <w:rFonts w:ascii="Arial" w:hAnsi="Arial" w:cs="Arial"/>
          <w:sz w:val="24"/>
          <w:szCs w:val="24"/>
        </w:rPr>
        <w:t>reconocer líneas investigativas contemporáneas.</w:t>
      </w:r>
    </w:p>
    <w:p w14:paraId="78B40BCE" w14:textId="34E85EF7" w:rsidR="00144CC8" w:rsidRPr="00144CC8" w:rsidRDefault="005B6DC1" w:rsidP="00AF7ADF">
      <w:pPr>
        <w:spacing w:after="120" w:line="240" w:lineRule="auto"/>
        <w:jc w:val="both"/>
        <w:rPr>
          <w:rFonts w:ascii="Arial" w:hAnsi="Arial" w:cs="Arial"/>
          <w:b/>
          <w:bCs/>
          <w:sz w:val="24"/>
          <w:szCs w:val="24"/>
        </w:rPr>
      </w:pPr>
      <w:r>
        <w:rPr>
          <w:rFonts w:ascii="Arial" w:hAnsi="Arial" w:cs="Arial"/>
          <w:b/>
          <w:bCs/>
          <w:sz w:val="24"/>
          <w:szCs w:val="24"/>
        </w:rPr>
        <w:t>METODOS</w:t>
      </w:r>
    </w:p>
    <w:p w14:paraId="2E35E6CE" w14:textId="7826EDA8" w:rsidR="00144CC8" w:rsidRDefault="00144CC8" w:rsidP="00AF7ADF">
      <w:pPr>
        <w:spacing w:after="0" w:line="240" w:lineRule="auto"/>
        <w:jc w:val="both"/>
        <w:rPr>
          <w:rFonts w:ascii="Arial" w:hAnsi="Arial" w:cs="Arial"/>
          <w:sz w:val="24"/>
          <w:szCs w:val="24"/>
          <w:lang w:val="es-CU"/>
        </w:rPr>
      </w:pPr>
      <w:r w:rsidRPr="00144CC8">
        <w:rPr>
          <w:rFonts w:ascii="Arial" w:hAnsi="Arial" w:cs="Arial"/>
          <w:sz w:val="24"/>
          <w:szCs w:val="24"/>
          <w:lang w:val="es-CU"/>
        </w:rPr>
        <w:t>El estudio adopta un diseño cualitativo, descriptivo y documental basado en un análisis comparativo y evolutivo de m</w:t>
      </w:r>
      <w:r>
        <w:rPr>
          <w:rFonts w:ascii="Arial" w:hAnsi="Arial" w:cs="Arial"/>
          <w:sz w:val="24"/>
          <w:szCs w:val="24"/>
          <w:lang w:val="es-CU"/>
        </w:rPr>
        <w:t>etodologías</w:t>
      </w:r>
      <w:r w:rsidRPr="00144CC8">
        <w:rPr>
          <w:rFonts w:ascii="Arial" w:hAnsi="Arial" w:cs="Arial"/>
          <w:sz w:val="24"/>
          <w:szCs w:val="24"/>
          <w:lang w:val="es-CU"/>
        </w:rPr>
        <w:t xml:space="preserve"> e indicadores utilizados para evaluar la </w:t>
      </w:r>
      <w:r w:rsidRPr="00E36F32">
        <w:rPr>
          <w:rFonts w:ascii="Arial" w:hAnsi="Arial" w:cs="Arial"/>
          <w:sz w:val="24"/>
          <w:szCs w:val="24"/>
          <w:lang w:val="es-CU"/>
        </w:rPr>
        <w:t>innovación. El corpus analítico comprende seis marcos de referencia</w:t>
      </w:r>
      <w:r w:rsidR="004B6EC4">
        <w:rPr>
          <w:rFonts w:ascii="Arial" w:hAnsi="Arial" w:cs="Arial"/>
          <w:sz w:val="24"/>
          <w:szCs w:val="24"/>
          <w:lang w:val="es-CU"/>
        </w:rPr>
        <w:t xml:space="preserve">, ver tabla 1. </w:t>
      </w:r>
      <w:r w:rsidRPr="00E36F32">
        <w:rPr>
          <w:rFonts w:ascii="Arial" w:hAnsi="Arial" w:cs="Arial"/>
          <w:sz w:val="24"/>
          <w:szCs w:val="24"/>
          <w:lang w:val="es-CU"/>
        </w:rPr>
        <w:t>La selección responde a su relevancia institucional y metodológica en diferentes niveles</w:t>
      </w:r>
      <w:r w:rsidRPr="00144CC8">
        <w:rPr>
          <w:rFonts w:ascii="Arial" w:hAnsi="Arial" w:cs="Arial"/>
          <w:sz w:val="24"/>
          <w:szCs w:val="24"/>
          <w:lang w:val="es-CU"/>
        </w:rPr>
        <w:t xml:space="preserve"> de medición, desde los recursos científicos y tecnológicos hasta el desempeño de los ecosistemas nacionales de innovación. En total, se identifica</w:t>
      </w:r>
      <w:r w:rsidR="00DB707E">
        <w:rPr>
          <w:rFonts w:ascii="Arial" w:hAnsi="Arial" w:cs="Arial"/>
          <w:sz w:val="24"/>
          <w:szCs w:val="24"/>
          <w:lang w:val="es-CU"/>
        </w:rPr>
        <w:t>n</w:t>
      </w:r>
      <w:r w:rsidRPr="00144CC8">
        <w:rPr>
          <w:rFonts w:ascii="Arial" w:hAnsi="Arial" w:cs="Arial"/>
          <w:sz w:val="24"/>
          <w:szCs w:val="24"/>
          <w:lang w:val="es-CU"/>
        </w:rPr>
        <w:t xml:space="preserve"> y sistematizan 247 indicadores, los cuales </w:t>
      </w:r>
      <w:r w:rsidR="00816D92">
        <w:rPr>
          <w:rFonts w:ascii="Arial" w:hAnsi="Arial" w:cs="Arial"/>
          <w:sz w:val="24"/>
          <w:szCs w:val="24"/>
          <w:lang w:val="es-CU"/>
        </w:rPr>
        <w:t>se examinan</w:t>
      </w:r>
      <w:r w:rsidRPr="00144CC8">
        <w:rPr>
          <w:rFonts w:ascii="Arial" w:hAnsi="Arial" w:cs="Arial"/>
          <w:sz w:val="24"/>
          <w:szCs w:val="24"/>
          <w:lang w:val="es-CU"/>
        </w:rPr>
        <w:t xml:space="preserve"> como unidades de análisis mediante una matriz comparativa estructurada.</w:t>
      </w:r>
      <w:r w:rsidR="00D77CCA">
        <w:rPr>
          <w:rFonts w:ascii="Arial" w:hAnsi="Arial" w:cs="Arial"/>
          <w:sz w:val="24"/>
          <w:szCs w:val="24"/>
          <w:lang w:val="es-CU"/>
        </w:rPr>
        <w:t xml:space="preserve"> Distinguir que el caso de los Indicadores Nacionales la Ley 182</w:t>
      </w:r>
      <w:r w:rsidR="00377C48">
        <w:rPr>
          <w:rFonts w:ascii="Arial" w:hAnsi="Arial" w:cs="Arial"/>
          <w:sz w:val="24"/>
          <w:szCs w:val="24"/>
          <w:lang w:val="es-CU"/>
        </w:rPr>
        <w:t xml:space="preserve"> (2026)</w:t>
      </w:r>
      <w:r w:rsidR="00D77CCA" w:rsidRPr="00D77CCA">
        <w:rPr>
          <w:rFonts w:ascii="Arial" w:hAnsi="Arial" w:cs="Arial"/>
          <w:sz w:val="24"/>
          <w:szCs w:val="24"/>
          <w:lang w:val="es-CU"/>
        </w:rPr>
        <w:t xml:space="preserve"> identifica nueve objetos de medición</w:t>
      </w:r>
      <w:r w:rsidR="00D77CCA">
        <w:rPr>
          <w:rFonts w:ascii="Arial" w:hAnsi="Arial" w:cs="Arial"/>
          <w:sz w:val="24"/>
          <w:szCs w:val="24"/>
          <w:lang w:val="es-CU"/>
        </w:rPr>
        <w:t xml:space="preserve"> </w:t>
      </w:r>
      <w:r w:rsidR="00D77CCA" w:rsidRPr="00D77CCA">
        <w:rPr>
          <w:rFonts w:ascii="Arial" w:hAnsi="Arial" w:cs="Arial"/>
          <w:sz w:val="24"/>
          <w:szCs w:val="24"/>
          <w:lang w:val="es-CU"/>
        </w:rPr>
        <w:t>dentro de una arquitectura normativa que debe</w:t>
      </w:r>
      <w:r w:rsidR="00D77CCA">
        <w:rPr>
          <w:rFonts w:ascii="Arial" w:hAnsi="Arial" w:cs="Arial"/>
          <w:sz w:val="24"/>
          <w:szCs w:val="24"/>
          <w:lang w:val="es-CU"/>
        </w:rPr>
        <w:t>rá</w:t>
      </w:r>
      <w:r w:rsidR="00D77CCA" w:rsidRPr="00D77CCA">
        <w:rPr>
          <w:rFonts w:ascii="Arial" w:hAnsi="Arial" w:cs="Arial"/>
          <w:sz w:val="24"/>
          <w:szCs w:val="24"/>
          <w:lang w:val="es-CU"/>
        </w:rPr>
        <w:t xml:space="preserve"> traducirse en indicadores operativos</w:t>
      </w:r>
      <w:r w:rsidR="00D77CCA" w:rsidRPr="00D77CCA">
        <w:t xml:space="preserve"> </w:t>
      </w:r>
      <w:r w:rsidR="00D77CCA">
        <w:rPr>
          <w:rFonts w:ascii="Arial" w:hAnsi="Arial" w:cs="Arial"/>
          <w:sz w:val="24"/>
          <w:szCs w:val="24"/>
        </w:rPr>
        <w:t>aun</w:t>
      </w:r>
      <w:r w:rsidR="00D77CCA" w:rsidRPr="00D77CCA">
        <w:rPr>
          <w:rFonts w:ascii="Arial" w:hAnsi="Arial" w:cs="Arial"/>
          <w:sz w:val="24"/>
          <w:szCs w:val="24"/>
          <w:lang w:val="es-CU"/>
        </w:rPr>
        <w:t xml:space="preserve"> por desarrollar</w:t>
      </w:r>
      <w:r w:rsidR="00D77CCA">
        <w:rPr>
          <w:rFonts w:ascii="Arial" w:hAnsi="Arial" w:cs="Arial"/>
          <w:sz w:val="24"/>
          <w:szCs w:val="24"/>
          <w:lang w:val="es-CU"/>
        </w:rPr>
        <w:t xml:space="preserve">, por lo que el análisis toma como base el </w:t>
      </w:r>
      <w:r w:rsidR="00D77CCA" w:rsidRPr="00D77CCA">
        <w:rPr>
          <w:rFonts w:ascii="Arial" w:hAnsi="Arial" w:cs="Arial"/>
          <w:sz w:val="24"/>
          <w:szCs w:val="24"/>
          <w:lang w:val="es-CU"/>
        </w:rPr>
        <w:t>Decreto-Ley 323, 2014</w:t>
      </w:r>
      <w:r w:rsidR="00D77CCA">
        <w:rPr>
          <w:rFonts w:ascii="Arial" w:hAnsi="Arial" w:cs="Arial"/>
          <w:sz w:val="24"/>
          <w:szCs w:val="24"/>
          <w:lang w:val="es-CU"/>
        </w:rPr>
        <w:t xml:space="preserve">. </w:t>
      </w:r>
    </w:p>
    <w:p w14:paraId="2E7E212E" w14:textId="155B3D1E" w:rsidR="004B6EC4" w:rsidRPr="00424891" w:rsidRDefault="004B6EC4" w:rsidP="00AF7ADF">
      <w:pPr>
        <w:spacing w:after="0" w:line="240" w:lineRule="auto"/>
        <w:jc w:val="center"/>
        <w:rPr>
          <w:rFonts w:ascii="Arial" w:hAnsi="Arial" w:cs="Arial"/>
          <w:b/>
          <w:bCs/>
          <w:lang w:val="es-CU"/>
        </w:rPr>
      </w:pPr>
      <w:r w:rsidRPr="00424891">
        <w:rPr>
          <w:rFonts w:ascii="Arial" w:hAnsi="Arial" w:cs="Arial"/>
          <w:b/>
          <w:bCs/>
          <w:lang w:val="es-CU"/>
        </w:rPr>
        <w:t>Tabla 1</w:t>
      </w:r>
      <w:r w:rsidR="00424891" w:rsidRPr="00424891">
        <w:rPr>
          <w:rFonts w:ascii="Arial" w:hAnsi="Arial" w:cs="Arial"/>
          <w:b/>
          <w:bCs/>
          <w:lang w:val="es-CU"/>
        </w:rPr>
        <w:t xml:space="preserve"> </w:t>
      </w:r>
      <w:r w:rsidR="00424891" w:rsidRPr="00424891">
        <w:rPr>
          <w:rFonts w:ascii="Arial" w:eastAsia="Calibri" w:hAnsi="Arial" w:cs="Arial"/>
          <w:b/>
          <w:bCs/>
          <w:lang w:val="es-CU"/>
        </w:rPr>
        <w:t>Metodologías de medición de la innovación</w:t>
      </w:r>
    </w:p>
    <w:tbl>
      <w:tblPr>
        <w:tblStyle w:val="Tablaconcuadrcula"/>
        <w:tblW w:w="9129" w:type="dxa"/>
        <w:jc w:val="center"/>
        <w:tblLook w:val="04A0" w:firstRow="1" w:lastRow="0" w:firstColumn="1" w:lastColumn="0" w:noHBand="0" w:noVBand="1"/>
      </w:tblPr>
      <w:tblGrid>
        <w:gridCol w:w="2425"/>
        <w:gridCol w:w="1531"/>
        <w:gridCol w:w="3135"/>
        <w:gridCol w:w="1274"/>
        <w:gridCol w:w="764"/>
      </w:tblGrid>
      <w:tr w:rsidR="004B6EC4" w:rsidRPr="00424891" w14:paraId="6BBA17D9" w14:textId="77777777" w:rsidTr="00424891">
        <w:trPr>
          <w:jc w:val="center"/>
        </w:trPr>
        <w:tc>
          <w:tcPr>
            <w:tcW w:w="2425" w:type="dxa"/>
          </w:tcPr>
          <w:p w14:paraId="06921F4D" w14:textId="100E447D" w:rsidR="004B6EC4" w:rsidRPr="00424891" w:rsidRDefault="004B6EC4" w:rsidP="00AF7ADF">
            <w:pPr>
              <w:spacing w:line="240" w:lineRule="auto"/>
              <w:jc w:val="center"/>
              <w:rPr>
                <w:rFonts w:ascii="Arial" w:hAnsi="Arial" w:cs="Arial"/>
                <w:lang w:val="es-CU"/>
              </w:rPr>
            </w:pPr>
            <w:r w:rsidRPr="00424891">
              <w:rPr>
                <w:b/>
                <w:bCs/>
              </w:rPr>
              <w:t>Marco/sistema</w:t>
            </w:r>
          </w:p>
        </w:tc>
        <w:tc>
          <w:tcPr>
            <w:tcW w:w="1531" w:type="dxa"/>
          </w:tcPr>
          <w:p w14:paraId="2EC77A02" w14:textId="1CE247FC" w:rsidR="004B6EC4" w:rsidRPr="00424891" w:rsidRDefault="004B6EC4" w:rsidP="00AF7ADF">
            <w:pPr>
              <w:spacing w:line="240" w:lineRule="auto"/>
              <w:jc w:val="center"/>
              <w:rPr>
                <w:rFonts w:ascii="Arial" w:hAnsi="Arial" w:cs="Arial"/>
                <w:lang w:val="es-CU"/>
              </w:rPr>
            </w:pPr>
            <w:r w:rsidRPr="00424891">
              <w:rPr>
                <w:b/>
                <w:bCs/>
              </w:rPr>
              <w:t>Unidad de análisis</w:t>
            </w:r>
          </w:p>
        </w:tc>
        <w:tc>
          <w:tcPr>
            <w:tcW w:w="0" w:type="auto"/>
          </w:tcPr>
          <w:p w14:paraId="35A05892" w14:textId="6600377D" w:rsidR="004B6EC4" w:rsidRPr="00424891" w:rsidRDefault="00D15335" w:rsidP="00AF7ADF">
            <w:pPr>
              <w:spacing w:line="240" w:lineRule="auto"/>
              <w:jc w:val="center"/>
              <w:rPr>
                <w:rFonts w:ascii="Arial" w:hAnsi="Arial" w:cs="Arial"/>
                <w:lang w:val="es-CU"/>
              </w:rPr>
            </w:pPr>
            <w:r w:rsidRPr="00424891">
              <w:rPr>
                <w:b/>
                <w:bCs/>
              </w:rPr>
              <w:t>Tipología de indicadores</w:t>
            </w:r>
          </w:p>
        </w:tc>
        <w:tc>
          <w:tcPr>
            <w:tcW w:w="1274" w:type="dxa"/>
          </w:tcPr>
          <w:p w14:paraId="6372BB91" w14:textId="1695B9CD" w:rsidR="004B6EC4" w:rsidRPr="00424891" w:rsidRDefault="00D15335" w:rsidP="00AF7ADF">
            <w:pPr>
              <w:spacing w:line="240" w:lineRule="auto"/>
              <w:jc w:val="center"/>
              <w:rPr>
                <w:rFonts w:ascii="Arial" w:hAnsi="Arial" w:cs="Arial"/>
                <w:lang w:val="es-CU"/>
              </w:rPr>
            </w:pPr>
            <w:r w:rsidRPr="00424891">
              <w:rPr>
                <w:b/>
                <w:bCs/>
              </w:rPr>
              <w:t>No. indicadores</w:t>
            </w:r>
          </w:p>
        </w:tc>
        <w:tc>
          <w:tcPr>
            <w:tcW w:w="0" w:type="auto"/>
          </w:tcPr>
          <w:p w14:paraId="4392A469" w14:textId="0905A047" w:rsidR="004B6EC4" w:rsidRPr="00424891" w:rsidRDefault="00D15335" w:rsidP="00AF7ADF">
            <w:pPr>
              <w:spacing w:line="240" w:lineRule="auto"/>
              <w:jc w:val="center"/>
              <w:rPr>
                <w:rFonts w:ascii="Arial" w:hAnsi="Arial" w:cs="Arial"/>
                <w:lang w:val="es-CU"/>
              </w:rPr>
            </w:pPr>
            <w:r w:rsidRPr="00424891">
              <w:rPr>
                <w:b/>
                <w:bCs/>
              </w:rPr>
              <w:t>%</w:t>
            </w:r>
          </w:p>
        </w:tc>
      </w:tr>
      <w:tr w:rsidR="00D15335" w:rsidRPr="00424891" w14:paraId="396C3C7A" w14:textId="77777777" w:rsidTr="00424891">
        <w:trPr>
          <w:jc w:val="center"/>
        </w:trPr>
        <w:tc>
          <w:tcPr>
            <w:tcW w:w="2425" w:type="dxa"/>
            <w:vAlign w:val="center"/>
          </w:tcPr>
          <w:p w14:paraId="5D31D984" w14:textId="3D26EDCA" w:rsidR="00D15335" w:rsidRPr="00424891" w:rsidRDefault="00D15335" w:rsidP="00AF7ADF">
            <w:pPr>
              <w:spacing w:line="240" w:lineRule="auto"/>
              <w:jc w:val="both"/>
              <w:rPr>
                <w:rFonts w:ascii="Arial" w:hAnsi="Arial" w:cs="Arial"/>
                <w:lang w:val="es-CU"/>
              </w:rPr>
            </w:pPr>
            <w:r w:rsidRPr="00424891">
              <w:t>Manual de Frascati (OECD, 2015)</w:t>
            </w:r>
          </w:p>
        </w:tc>
        <w:tc>
          <w:tcPr>
            <w:tcW w:w="1531" w:type="dxa"/>
            <w:vAlign w:val="center"/>
          </w:tcPr>
          <w:p w14:paraId="5C727631" w14:textId="197D444A" w:rsidR="00D15335" w:rsidRPr="00424891" w:rsidRDefault="00D15335" w:rsidP="00AF7ADF">
            <w:pPr>
              <w:spacing w:line="240" w:lineRule="auto"/>
              <w:jc w:val="both"/>
              <w:rPr>
                <w:rFonts w:ascii="Arial" w:hAnsi="Arial" w:cs="Arial"/>
                <w:lang w:val="es-CU"/>
              </w:rPr>
            </w:pPr>
            <w:r w:rsidRPr="00424891">
              <w:rPr>
                <w:lang w:val="es-CU"/>
              </w:rPr>
              <w:t>País / sistema de I+D</w:t>
            </w:r>
          </w:p>
        </w:tc>
        <w:tc>
          <w:tcPr>
            <w:tcW w:w="0" w:type="auto"/>
            <w:vAlign w:val="center"/>
          </w:tcPr>
          <w:p w14:paraId="2E2D1C74" w14:textId="39A5E4A9" w:rsidR="00D15335" w:rsidRPr="00424891" w:rsidRDefault="00D15335" w:rsidP="00AF7ADF">
            <w:pPr>
              <w:spacing w:line="240" w:lineRule="auto"/>
              <w:jc w:val="both"/>
              <w:rPr>
                <w:rFonts w:ascii="Arial" w:hAnsi="Arial" w:cs="Arial"/>
                <w:lang w:val="es-CU"/>
              </w:rPr>
            </w:pPr>
            <w:r w:rsidRPr="00424891">
              <w:rPr>
                <w:rFonts w:ascii="Calibri" w:eastAsia="Calibri" w:hAnsi="Calibri" w:cs="Calibri"/>
                <w:color w:val="000000"/>
                <w:lang w:val="es-CU"/>
              </w:rPr>
              <w:t>Gasto en I+D, personal dedicado a I+D, fuentes de financiamiento</w:t>
            </w:r>
          </w:p>
        </w:tc>
        <w:tc>
          <w:tcPr>
            <w:tcW w:w="1274" w:type="dxa"/>
            <w:vAlign w:val="center"/>
          </w:tcPr>
          <w:p w14:paraId="13A96223" w14:textId="35775F07" w:rsidR="00D15335" w:rsidRPr="00424891" w:rsidRDefault="00D15335" w:rsidP="00AF7ADF">
            <w:pPr>
              <w:spacing w:line="240" w:lineRule="auto"/>
              <w:jc w:val="center"/>
              <w:rPr>
                <w:rFonts w:ascii="Arial" w:hAnsi="Arial" w:cs="Arial"/>
                <w:lang w:val="es-CU"/>
              </w:rPr>
            </w:pPr>
            <w:r w:rsidRPr="00424891">
              <w:t>9</w:t>
            </w:r>
          </w:p>
        </w:tc>
        <w:tc>
          <w:tcPr>
            <w:tcW w:w="0" w:type="auto"/>
            <w:vAlign w:val="center"/>
          </w:tcPr>
          <w:p w14:paraId="6426A3F1" w14:textId="3F854D82" w:rsidR="00D15335" w:rsidRPr="00424891" w:rsidRDefault="00D15335" w:rsidP="00AF7ADF">
            <w:pPr>
              <w:spacing w:line="240" w:lineRule="auto"/>
              <w:jc w:val="both"/>
              <w:rPr>
                <w:rFonts w:ascii="Arial" w:hAnsi="Arial" w:cs="Arial"/>
                <w:lang w:val="es-CU"/>
              </w:rPr>
            </w:pPr>
            <w:r w:rsidRPr="00424891">
              <w:t>3.6%</w:t>
            </w:r>
          </w:p>
        </w:tc>
      </w:tr>
      <w:tr w:rsidR="00D15335" w:rsidRPr="00424891" w14:paraId="5A45ED0C" w14:textId="77777777" w:rsidTr="00424891">
        <w:trPr>
          <w:jc w:val="center"/>
        </w:trPr>
        <w:tc>
          <w:tcPr>
            <w:tcW w:w="2425" w:type="dxa"/>
            <w:vAlign w:val="center"/>
          </w:tcPr>
          <w:p w14:paraId="0858EBB1" w14:textId="2A419F70" w:rsidR="00D15335" w:rsidRPr="00424891" w:rsidRDefault="00D15335" w:rsidP="00AF7ADF">
            <w:pPr>
              <w:spacing w:line="240" w:lineRule="auto"/>
              <w:jc w:val="both"/>
              <w:rPr>
                <w:rFonts w:ascii="Arial" w:hAnsi="Arial" w:cs="Arial"/>
                <w:lang w:val="es-CU"/>
              </w:rPr>
            </w:pPr>
            <w:r w:rsidRPr="00424891">
              <w:t>Manual de Oslo (OECD, 2018)</w:t>
            </w:r>
          </w:p>
        </w:tc>
        <w:tc>
          <w:tcPr>
            <w:tcW w:w="1531" w:type="dxa"/>
            <w:vAlign w:val="center"/>
          </w:tcPr>
          <w:p w14:paraId="565690D5" w14:textId="328E520C" w:rsidR="00D15335" w:rsidRPr="00424891" w:rsidRDefault="00D15335" w:rsidP="00AF7ADF">
            <w:pPr>
              <w:spacing w:line="240" w:lineRule="auto"/>
              <w:jc w:val="both"/>
              <w:rPr>
                <w:rFonts w:ascii="Arial" w:hAnsi="Arial" w:cs="Arial"/>
                <w:lang w:val="es-CU"/>
              </w:rPr>
            </w:pPr>
            <w:r w:rsidRPr="00424891">
              <w:t>Empresa</w:t>
            </w:r>
          </w:p>
        </w:tc>
        <w:tc>
          <w:tcPr>
            <w:tcW w:w="0" w:type="auto"/>
            <w:vAlign w:val="center"/>
          </w:tcPr>
          <w:p w14:paraId="51FF29AC" w14:textId="2CC79EC0" w:rsidR="00D15335" w:rsidRPr="00424891" w:rsidRDefault="00D15335" w:rsidP="00AF7ADF">
            <w:pPr>
              <w:spacing w:line="240" w:lineRule="auto"/>
              <w:jc w:val="both"/>
              <w:rPr>
                <w:rFonts w:ascii="Arial" w:hAnsi="Arial" w:cs="Arial"/>
                <w:lang w:val="es-CU"/>
              </w:rPr>
            </w:pPr>
            <w:r w:rsidRPr="00424891">
              <w:rPr>
                <w:rFonts w:ascii="Calibri" w:eastAsia="Calibri" w:hAnsi="Calibri" w:cs="Calibri"/>
                <w:color w:val="000000"/>
                <w:lang w:val="es-CU"/>
              </w:rPr>
              <w:t>Innovaciones introducidas, gasto en innovación, cooperación, obstáculos</w:t>
            </w:r>
          </w:p>
        </w:tc>
        <w:tc>
          <w:tcPr>
            <w:tcW w:w="1274" w:type="dxa"/>
            <w:vAlign w:val="center"/>
          </w:tcPr>
          <w:p w14:paraId="44EE93B6" w14:textId="0BCC634D" w:rsidR="00D15335" w:rsidRPr="00424891" w:rsidRDefault="00D15335" w:rsidP="00AF7ADF">
            <w:pPr>
              <w:spacing w:line="240" w:lineRule="auto"/>
              <w:jc w:val="center"/>
              <w:rPr>
                <w:rFonts w:ascii="Arial" w:hAnsi="Arial" w:cs="Arial"/>
                <w:lang w:val="es-CU"/>
              </w:rPr>
            </w:pPr>
            <w:r w:rsidRPr="00424891">
              <w:t>54</w:t>
            </w:r>
          </w:p>
        </w:tc>
        <w:tc>
          <w:tcPr>
            <w:tcW w:w="0" w:type="auto"/>
            <w:vAlign w:val="center"/>
          </w:tcPr>
          <w:p w14:paraId="0FA579FF" w14:textId="3B0A3A85" w:rsidR="00D15335" w:rsidRPr="00424891" w:rsidRDefault="00D15335" w:rsidP="00AF7ADF">
            <w:pPr>
              <w:spacing w:line="240" w:lineRule="auto"/>
              <w:jc w:val="both"/>
              <w:rPr>
                <w:rFonts w:ascii="Arial" w:hAnsi="Arial" w:cs="Arial"/>
                <w:lang w:val="es-CU"/>
              </w:rPr>
            </w:pPr>
            <w:r w:rsidRPr="00424891">
              <w:t>21.9%</w:t>
            </w:r>
          </w:p>
        </w:tc>
      </w:tr>
      <w:tr w:rsidR="00D15335" w:rsidRPr="00424891" w14:paraId="119ED2BE" w14:textId="77777777" w:rsidTr="00424891">
        <w:trPr>
          <w:jc w:val="center"/>
        </w:trPr>
        <w:tc>
          <w:tcPr>
            <w:tcW w:w="2425" w:type="dxa"/>
            <w:vAlign w:val="center"/>
          </w:tcPr>
          <w:p w14:paraId="47A3D527" w14:textId="7ADC1541" w:rsidR="00D15335" w:rsidRPr="00424891" w:rsidRDefault="00D15335" w:rsidP="00AF7ADF">
            <w:pPr>
              <w:spacing w:line="240" w:lineRule="auto"/>
              <w:jc w:val="both"/>
              <w:rPr>
                <w:rFonts w:ascii="Arial" w:hAnsi="Arial" w:cs="Arial"/>
                <w:lang w:val="es-CU"/>
              </w:rPr>
            </w:pPr>
            <w:r w:rsidRPr="00424891">
              <w:t>Red Iberoamericana de Indicadores de Ciencia y Tecnología (RICYT, 2025)</w:t>
            </w:r>
          </w:p>
        </w:tc>
        <w:tc>
          <w:tcPr>
            <w:tcW w:w="1531" w:type="dxa"/>
            <w:vAlign w:val="center"/>
          </w:tcPr>
          <w:p w14:paraId="7335134E" w14:textId="68286A81" w:rsidR="00D15335" w:rsidRPr="00424891" w:rsidRDefault="00D15335" w:rsidP="00AF7ADF">
            <w:pPr>
              <w:spacing w:line="240" w:lineRule="auto"/>
              <w:jc w:val="both"/>
              <w:rPr>
                <w:rFonts w:ascii="Arial" w:hAnsi="Arial" w:cs="Arial"/>
                <w:lang w:val="es-CU"/>
              </w:rPr>
            </w:pPr>
            <w:r w:rsidRPr="00424891">
              <w:t>País / sistema CTI</w:t>
            </w:r>
          </w:p>
        </w:tc>
        <w:tc>
          <w:tcPr>
            <w:tcW w:w="0" w:type="auto"/>
            <w:vAlign w:val="center"/>
          </w:tcPr>
          <w:p w14:paraId="563284E1" w14:textId="58EE9EE0" w:rsidR="00D15335" w:rsidRPr="00424891" w:rsidRDefault="00D15335" w:rsidP="00AF7ADF">
            <w:pPr>
              <w:spacing w:line="240" w:lineRule="auto"/>
              <w:jc w:val="both"/>
              <w:rPr>
                <w:rFonts w:ascii="Arial" w:hAnsi="Arial" w:cs="Arial"/>
                <w:lang w:val="es-CU"/>
              </w:rPr>
            </w:pPr>
            <w:r w:rsidRPr="00424891">
              <w:rPr>
                <w:rFonts w:ascii="Calibri" w:eastAsia="Calibri" w:hAnsi="Calibri" w:cs="Calibri"/>
                <w:color w:val="000000"/>
                <w:lang w:val="es-CU"/>
              </w:rPr>
              <w:t>Indicadores de insumo (gasto, personal) y de producto</w:t>
            </w:r>
          </w:p>
        </w:tc>
        <w:tc>
          <w:tcPr>
            <w:tcW w:w="1274" w:type="dxa"/>
            <w:vAlign w:val="center"/>
          </w:tcPr>
          <w:p w14:paraId="6B209B28" w14:textId="7161B2C8" w:rsidR="00D15335" w:rsidRPr="00424891" w:rsidRDefault="00D15335" w:rsidP="00AF7ADF">
            <w:pPr>
              <w:spacing w:line="240" w:lineRule="auto"/>
              <w:jc w:val="center"/>
              <w:rPr>
                <w:rFonts w:ascii="Arial" w:hAnsi="Arial" w:cs="Arial"/>
                <w:lang w:val="es-CU"/>
              </w:rPr>
            </w:pPr>
            <w:r w:rsidRPr="00424891">
              <w:t>17</w:t>
            </w:r>
          </w:p>
        </w:tc>
        <w:tc>
          <w:tcPr>
            <w:tcW w:w="0" w:type="auto"/>
            <w:vAlign w:val="center"/>
          </w:tcPr>
          <w:p w14:paraId="5CED2B31" w14:textId="4C14A75B" w:rsidR="00D15335" w:rsidRPr="00424891" w:rsidRDefault="00D15335" w:rsidP="00AF7ADF">
            <w:pPr>
              <w:spacing w:line="240" w:lineRule="auto"/>
              <w:jc w:val="both"/>
              <w:rPr>
                <w:rFonts w:ascii="Arial" w:hAnsi="Arial" w:cs="Arial"/>
                <w:lang w:val="es-CU"/>
              </w:rPr>
            </w:pPr>
            <w:r w:rsidRPr="00424891">
              <w:t>6.9%</w:t>
            </w:r>
          </w:p>
        </w:tc>
      </w:tr>
      <w:tr w:rsidR="00D15335" w:rsidRPr="00424891" w14:paraId="7953AC95" w14:textId="77777777" w:rsidTr="00424891">
        <w:trPr>
          <w:jc w:val="center"/>
        </w:trPr>
        <w:tc>
          <w:tcPr>
            <w:tcW w:w="2425" w:type="dxa"/>
            <w:vAlign w:val="center"/>
          </w:tcPr>
          <w:p w14:paraId="150771A2" w14:textId="68A95D7E" w:rsidR="00D15335" w:rsidRPr="005C4E92" w:rsidRDefault="00D15335" w:rsidP="00AF7ADF">
            <w:pPr>
              <w:spacing w:line="240" w:lineRule="auto"/>
              <w:jc w:val="both"/>
              <w:rPr>
                <w:rFonts w:ascii="Arial" w:hAnsi="Arial" w:cs="Arial"/>
                <w:lang w:val="en-US"/>
              </w:rPr>
            </w:pPr>
            <w:r w:rsidRPr="005C4E92">
              <w:rPr>
                <w:lang w:val="en-US"/>
              </w:rPr>
              <w:t>Global Innovation Index (GII</w:t>
            </w:r>
            <w:r w:rsidR="005C4E92" w:rsidRPr="005C4E92">
              <w:rPr>
                <w:lang w:val="en-US"/>
              </w:rPr>
              <w:t>) (WIPO</w:t>
            </w:r>
            <w:r w:rsidRPr="005C4E92">
              <w:rPr>
                <w:lang w:val="en-US"/>
              </w:rPr>
              <w:t>, 2025)</w:t>
            </w:r>
          </w:p>
        </w:tc>
        <w:tc>
          <w:tcPr>
            <w:tcW w:w="1531" w:type="dxa"/>
            <w:vAlign w:val="center"/>
          </w:tcPr>
          <w:p w14:paraId="599F0694" w14:textId="6E1F23F5" w:rsidR="00D15335" w:rsidRPr="00424891" w:rsidRDefault="00D15335" w:rsidP="00AF7ADF">
            <w:pPr>
              <w:spacing w:line="240" w:lineRule="auto"/>
              <w:jc w:val="both"/>
              <w:rPr>
                <w:rFonts w:ascii="Arial" w:hAnsi="Arial" w:cs="Arial"/>
                <w:lang w:val="es-CU"/>
              </w:rPr>
            </w:pPr>
            <w:r w:rsidRPr="00424891">
              <w:t>País / economía</w:t>
            </w:r>
          </w:p>
        </w:tc>
        <w:tc>
          <w:tcPr>
            <w:tcW w:w="0" w:type="auto"/>
            <w:vAlign w:val="center"/>
          </w:tcPr>
          <w:p w14:paraId="44CC347B" w14:textId="79FFA429" w:rsidR="00D15335" w:rsidRPr="00424891" w:rsidRDefault="005803D4" w:rsidP="00AF7ADF">
            <w:pPr>
              <w:spacing w:line="240" w:lineRule="auto"/>
              <w:jc w:val="both"/>
              <w:rPr>
                <w:rFonts w:ascii="Arial" w:hAnsi="Arial" w:cs="Arial"/>
                <w:lang w:val="es-CU"/>
              </w:rPr>
            </w:pPr>
            <w:r w:rsidRPr="00424891">
              <w:rPr>
                <w:rFonts w:ascii="Calibri" w:eastAsia="Calibri" w:hAnsi="Calibri" w:cs="Calibri"/>
                <w:color w:val="000000"/>
                <w:lang w:val="es-CU"/>
              </w:rPr>
              <w:t>Índices compuestos</w:t>
            </w:r>
            <w:r>
              <w:rPr>
                <w:rFonts w:ascii="Calibri" w:eastAsia="Calibri" w:hAnsi="Calibri" w:cs="Calibri"/>
                <w:color w:val="000000"/>
                <w:lang w:val="es-CU"/>
              </w:rPr>
              <w:t>: 5 pilares de insumo y 2 de resultados</w:t>
            </w:r>
          </w:p>
        </w:tc>
        <w:tc>
          <w:tcPr>
            <w:tcW w:w="1274" w:type="dxa"/>
            <w:vAlign w:val="center"/>
          </w:tcPr>
          <w:p w14:paraId="69062EEB" w14:textId="690B8D73" w:rsidR="00D15335" w:rsidRPr="00424891" w:rsidRDefault="00D15335" w:rsidP="00AF7ADF">
            <w:pPr>
              <w:spacing w:line="240" w:lineRule="auto"/>
              <w:jc w:val="center"/>
              <w:rPr>
                <w:rFonts w:ascii="Arial" w:hAnsi="Arial" w:cs="Arial"/>
                <w:lang w:val="es-CU"/>
              </w:rPr>
            </w:pPr>
            <w:r w:rsidRPr="00424891">
              <w:t>78</w:t>
            </w:r>
          </w:p>
        </w:tc>
        <w:tc>
          <w:tcPr>
            <w:tcW w:w="0" w:type="auto"/>
            <w:vAlign w:val="center"/>
          </w:tcPr>
          <w:p w14:paraId="2D42DE37" w14:textId="7B3E6F82" w:rsidR="00D15335" w:rsidRPr="00424891" w:rsidRDefault="00D15335" w:rsidP="00AF7ADF">
            <w:pPr>
              <w:spacing w:line="240" w:lineRule="auto"/>
              <w:jc w:val="both"/>
              <w:rPr>
                <w:rFonts w:ascii="Arial" w:hAnsi="Arial" w:cs="Arial"/>
                <w:lang w:val="es-CU"/>
              </w:rPr>
            </w:pPr>
            <w:r w:rsidRPr="00424891">
              <w:t>31.6%</w:t>
            </w:r>
          </w:p>
        </w:tc>
      </w:tr>
      <w:tr w:rsidR="00D15335" w:rsidRPr="00424891" w14:paraId="70B36E19" w14:textId="77777777" w:rsidTr="00424891">
        <w:trPr>
          <w:jc w:val="center"/>
        </w:trPr>
        <w:tc>
          <w:tcPr>
            <w:tcW w:w="2425" w:type="dxa"/>
            <w:vAlign w:val="center"/>
          </w:tcPr>
          <w:p w14:paraId="1A10D0B5" w14:textId="3AD6AC18" w:rsidR="00D15335" w:rsidRPr="00424891" w:rsidRDefault="00D15335" w:rsidP="00AF7ADF">
            <w:pPr>
              <w:spacing w:line="240" w:lineRule="auto"/>
              <w:jc w:val="both"/>
              <w:rPr>
                <w:rFonts w:ascii="Arial" w:hAnsi="Arial" w:cs="Arial"/>
                <w:lang w:val="es-CU"/>
              </w:rPr>
            </w:pPr>
            <w:r w:rsidRPr="00424891">
              <w:t>European Innovation Scoreboard (EIS</w:t>
            </w:r>
            <w:r w:rsidR="005C4E92">
              <w:t>) (</w:t>
            </w:r>
            <w:r w:rsidR="005C4E92" w:rsidRPr="005C4E92">
              <w:t>Comisión Europea</w:t>
            </w:r>
            <w:r w:rsidRPr="00424891">
              <w:t>, 2026),</w:t>
            </w:r>
          </w:p>
        </w:tc>
        <w:tc>
          <w:tcPr>
            <w:tcW w:w="1531" w:type="dxa"/>
            <w:vAlign w:val="center"/>
          </w:tcPr>
          <w:p w14:paraId="12237DE8" w14:textId="609F2232" w:rsidR="00D15335" w:rsidRPr="00424891" w:rsidRDefault="00D15335" w:rsidP="00AF7ADF">
            <w:pPr>
              <w:spacing w:line="240" w:lineRule="auto"/>
              <w:jc w:val="both"/>
              <w:rPr>
                <w:rFonts w:ascii="Arial" w:hAnsi="Arial" w:cs="Arial"/>
                <w:lang w:val="es-CU"/>
              </w:rPr>
            </w:pPr>
            <w:r w:rsidRPr="00424891">
              <w:t>País / sistema nacional</w:t>
            </w:r>
          </w:p>
        </w:tc>
        <w:tc>
          <w:tcPr>
            <w:tcW w:w="0" w:type="auto"/>
            <w:vAlign w:val="center"/>
          </w:tcPr>
          <w:p w14:paraId="76A1F210" w14:textId="09C9766D" w:rsidR="00D15335" w:rsidRPr="00424891" w:rsidRDefault="00D15335" w:rsidP="00AF7ADF">
            <w:pPr>
              <w:spacing w:line="240" w:lineRule="auto"/>
              <w:jc w:val="both"/>
              <w:rPr>
                <w:rFonts w:ascii="Arial" w:hAnsi="Arial" w:cs="Arial"/>
                <w:lang w:val="es-CU"/>
              </w:rPr>
            </w:pPr>
            <w:r w:rsidRPr="00424891">
              <w:rPr>
                <w:rFonts w:ascii="Calibri" w:eastAsia="Calibri" w:hAnsi="Calibri" w:cs="Calibri"/>
                <w:color w:val="000000"/>
                <w:lang w:val="es-CU"/>
              </w:rPr>
              <w:t>Índices compuestos: capital humano, sistemas de investigación, inversión, vínculos, activos intelectuales</w:t>
            </w:r>
          </w:p>
        </w:tc>
        <w:tc>
          <w:tcPr>
            <w:tcW w:w="1274" w:type="dxa"/>
            <w:vAlign w:val="center"/>
          </w:tcPr>
          <w:p w14:paraId="3DD04646" w14:textId="2E6FB7D2" w:rsidR="00D15335" w:rsidRPr="00424891" w:rsidRDefault="00D15335" w:rsidP="00AF7ADF">
            <w:pPr>
              <w:spacing w:line="240" w:lineRule="auto"/>
              <w:jc w:val="center"/>
              <w:rPr>
                <w:rFonts w:ascii="Arial" w:hAnsi="Arial" w:cs="Arial"/>
                <w:lang w:val="es-CU"/>
              </w:rPr>
            </w:pPr>
            <w:r w:rsidRPr="00424891">
              <w:t>32</w:t>
            </w:r>
          </w:p>
        </w:tc>
        <w:tc>
          <w:tcPr>
            <w:tcW w:w="0" w:type="auto"/>
            <w:vAlign w:val="center"/>
          </w:tcPr>
          <w:p w14:paraId="7A24CC02" w14:textId="0EEBBA06" w:rsidR="00D15335" w:rsidRPr="00424891" w:rsidRDefault="00D15335" w:rsidP="00AF7ADF">
            <w:pPr>
              <w:spacing w:line="240" w:lineRule="auto"/>
              <w:jc w:val="both"/>
              <w:rPr>
                <w:rFonts w:ascii="Arial" w:hAnsi="Arial" w:cs="Arial"/>
                <w:lang w:val="es-CU"/>
              </w:rPr>
            </w:pPr>
            <w:r w:rsidRPr="00424891">
              <w:t>13.0%</w:t>
            </w:r>
          </w:p>
        </w:tc>
      </w:tr>
      <w:tr w:rsidR="00D15335" w:rsidRPr="00424891" w14:paraId="6A8B3307" w14:textId="77777777" w:rsidTr="00424891">
        <w:trPr>
          <w:jc w:val="center"/>
        </w:trPr>
        <w:tc>
          <w:tcPr>
            <w:tcW w:w="2425" w:type="dxa"/>
            <w:vAlign w:val="center"/>
          </w:tcPr>
          <w:p w14:paraId="6A44E2F8" w14:textId="02D2A26C" w:rsidR="00D15335" w:rsidRPr="00424891" w:rsidRDefault="00D15335" w:rsidP="00AF7ADF">
            <w:pPr>
              <w:spacing w:line="240" w:lineRule="auto"/>
              <w:jc w:val="both"/>
            </w:pPr>
            <w:r w:rsidRPr="00424891">
              <w:rPr>
                <w:lang w:val="es-CU"/>
              </w:rPr>
              <w:t>Indicadores del Sistema Nacional de Ciencia e Innovación Tecnológica CITMA (Decreto-Ley 323, 2014; Ley 182, 2026).</w:t>
            </w:r>
          </w:p>
        </w:tc>
        <w:tc>
          <w:tcPr>
            <w:tcW w:w="1531" w:type="dxa"/>
            <w:vAlign w:val="center"/>
          </w:tcPr>
          <w:p w14:paraId="6FC440EC" w14:textId="276FB53A" w:rsidR="00D15335" w:rsidRPr="00424891" w:rsidRDefault="00D15335" w:rsidP="00AF7ADF">
            <w:pPr>
              <w:spacing w:line="240" w:lineRule="auto"/>
              <w:jc w:val="both"/>
            </w:pPr>
            <w:r w:rsidRPr="00424891">
              <w:rPr>
                <w:lang w:val="es-CU"/>
              </w:rPr>
              <w:t>E</w:t>
            </w:r>
            <w:r w:rsidR="00424891">
              <w:rPr>
                <w:lang w:val="es-CU"/>
              </w:rPr>
              <w:t>CTI</w:t>
            </w:r>
            <w:r w:rsidR="00DA5661" w:rsidRPr="00424891">
              <w:rPr>
                <w:lang w:val="es-CU"/>
              </w:rPr>
              <w:t xml:space="preserve">/ </w:t>
            </w:r>
            <w:r w:rsidR="00424891" w:rsidRPr="00424891">
              <w:rPr>
                <w:lang w:val="es-CU"/>
              </w:rPr>
              <w:t>s</w:t>
            </w:r>
            <w:r w:rsidR="00DA5661" w:rsidRPr="00424891">
              <w:rPr>
                <w:lang w:val="es-CU"/>
              </w:rPr>
              <w:t>istema</w:t>
            </w:r>
            <w:r w:rsidR="00DA7ACB" w:rsidRPr="00424891">
              <w:rPr>
                <w:lang w:val="es-CU"/>
              </w:rPr>
              <w:t>s generales de CTI</w:t>
            </w:r>
          </w:p>
        </w:tc>
        <w:tc>
          <w:tcPr>
            <w:tcW w:w="0" w:type="auto"/>
            <w:vAlign w:val="center"/>
          </w:tcPr>
          <w:p w14:paraId="56FB8F1A" w14:textId="35CFDEF9" w:rsidR="00D15335" w:rsidRPr="00424891" w:rsidRDefault="00D15335" w:rsidP="00AF7ADF">
            <w:pPr>
              <w:spacing w:line="240" w:lineRule="auto"/>
              <w:jc w:val="both"/>
            </w:pPr>
            <w:r w:rsidRPr="00424891">
              <w:rPr>
                <w:rFonts w:ascii="Calibri" w:eastAsia="Calibri" w:hAnsi="Calibri" w:cs="Calibri"/>
                <w:color w:val="000000"/>
                <w:lang w:val="es-CU"/>
              </w:rPr>
              <w:t>Indicadores de I+D, resultados científicos, propiedad industrial, gestión de la innovación empresarial</w:t>
            </w:r>
          </w:p>
        </w:tc>
        <w:tc>
          <w:tcPr>
            <w:tcW w:w="1274" w:type="dxa"/>
            <w:vAlign w:val="center"/>
          </w:tcPr>
          <w:p w14:paraId="0BADAB8B" w14:textId="5B51FD19" w:rsidR="00D15335" w:rsidRPr="00424891" w:rsidRDefault="00D15335" w:rsidP="00AF7ADF">
            <w:pPr>
              <w:spacing w:line="240" w:lineRule="auto"/>
              <w:jc w:val="center"/>
            </w:pPr>
            <w:r w:rsidRPr="00424891">
              <w:t>57</w:t>
            </w:r>
          </w:p>
        </w:tc>
        <w:tc>
          <w:tcPr>
            <w:tcW w:w="0" w:type="auto"/>
            <w:vAlign w:val="center"/>
          </w:tcPr>
          <w:p w14:paraId="209AB7D5" w14:textId="736788E3" w:rsidR="00D15335" w:rsidRPr="00424891" w:rsidRDefault="00D15335" w:rsidP="00AF7ADF">
            <w:pPr>
              <w:spacing w:line="240" w:lineRule="auto"/>
              <w:jc w:val="both"/>
            </w:pPr>
            <w:r w:rsidRPr="00424891">
              <w:t>23.1%</w:t>
            </w:r>
          </w:p>
        </w:tc>
      </w:tr>
    </w:tbl>
    <w:p w14:paraId="4AD4C3AE" w14:textId="674A6259" w:rsidR="004B6EC4" w:rsidRPr="00424891" w:rsidRDefault="00424891" w:rsidP="00AF7ADF">
      <w:pPr>
        <w:spacing w:after="0" w:line="240" w:lineRule="auto"/>
        <w:jc w:val="center"/>
        <w:rPr>
          <w:rFonts w:ascii="Arial" w:hAnsi="Arial" w:cs="Arial"/>
          <w:b/>
          <w:bCs/>
          <w:sz w:val="20"/>
          <w:szCs w:val="20"/>
          <w:lang w:val="es-CU"/>
        </w:rPr>
      </w:pPr>
      <w:r w:rsidRPr="00424891">
        <w:rPr>
          <w:rFonts w:ascii="Arial" w:hAnsi="Arial" w:cs="Arial"/>
          <w:b/>
          <w:bCs/>
          <w:sz w:val="20"/>
          <w:szCs w:val="20"/>
          <w:lang w:val="es-CU"/>
        </w:rPr>
        <w:t>Fuente: Elaboración propia con base en la bibliografía referenciada en la tabla</w:t>
      </w:r>
    </w:p>
    <w:p w14:paraId="6AE2FECC" w14:textId="074981F4" w:rsidR="00DB707E" w:rsidRPr="00DB707E" w:rsidRDefault="00DB707E" w:rsidP="00AF7ADF">
      <w:pPr>
        <w:spacing w:after="0" w:line="240" w:lineRule="auto"/>
        <w:jc w:val="both"/>
        <w:rPr>
          <w:rFonts w:ascii="Arial" w:hAnsi="Arial" w:cs="Arial"/>
          <w:sz w:val="24"/>
          <w:szCs w:val="24"/>
          <w:lang w:val="es-CU"/>
        </w:rPr>
      </w:pPr>
      <w:r>
        <w:rPr>
          <w:rFonts w:ascii="Arial" w:hAnsi="Arial" w:cs="Arial"/>
          <w:sz w:val="24"/>
          <w:szCs w:val="24"/>
          <w:lang w:val="es-CU"/>
        </w:rPr>
        <w:t>Se utilizan, además, métodos teóricos como: el h</w:t>
      </w:r>
      <w:r w:rsidRPr="00DB707E">
        <w:rPr>
          <w:rFonts w:ascii="Arial" w:hAnsi="Arial" w:cs="Arial"/>
          <w:sz w:val="24"/>
          <w:szCs w:val="24"/>
          <w:lang w:val="es-CU"/>
        </w:rPr>
        <w:t xml:space="preserve">istórico-lógico, para reconstruir la evolución de los manuales; el análisis-síntesis, para descomponer cada </w:t>
      </w:r>
      <w:r w:rsidR="0079374B">
        <w:rPr>
          <w:rFonts w:ascii="Arial" w:hAnsi="Arial" w:cs="Arial"/>
          <w:sz w:val="24"/>
          <w:szCs w:val="24"/>
          <w:lang w:val="es-CU"/>
        </w:rPr>
        <w:t>metodología e</w:t>
      </w:r>
      <w:r w:rsidRPr="00DB707E">
        <w:rPr>
          <w:rFonts w:ascii="Arial" w:hAnsi="Arial" w:cs="Arial"/>
          <w:sz w:val="24"/>
          <w:szCs w:val="24"/>
          <w:lang w:val="es-CU"/>
        </w:rPr>
        <w:t xml:space="preserve"> integrar los hallazgos comparativos; y la inducción-deducción: para generalizar patrones comunes entre metodologías y contrastarlos. Así como</w:t>
      </w:r>
      <w:r w:rsidR="0079374B">
        <w:rPr>
          <w:rFonts w:ascii="Arial" w:hAnsi="Arial" w:cs="Arial"/>
          <w:sz w:val="24"/>
          <w:szCs w:val="24"/>
          <w:lang w:val="es-CU"/>
        </w:rPr>
        <w:t>,</w:t>
      </w:r>
      <w:r w:rsidRPr="00DB707E">
        <w:rPr>
          <w:rFonts w:ascii="Arial" w:hAnsi="Arial" w:cs="Arial"/>
          <w:sz w:val="24"/>
          <w:szCs w:val="24"/>
          <w:lang w:val="es-CU"/>
        </w:rPr>
        <w:t xml:space="preserve"> técnicas de análisis documental </w:t>
      </w:r>
      <w:r w:rsidR="0079374B">
        <w:rPr>
          <w:rFonts w:ascii="Arial" w:hAnsi="Arial" w:cs="Arial"/>
          <w:sz w:val="24"/>
          <w:szCs w:val="24"/>
          <w:lang w:val="es-CU"/>
        </w:rPr>
        <w:t>para</w:t>
      </w:r>
      <w:r w:rsidRPr="00DB707E">
        <w:rPr>
          <w:rFonts w:ascii="Arial" w:hAnsi="Arial" w:cs="Arial"/>
          <w:sz w:val="24"/>
          <w:szCs w:val="24"/>
          <w:lang w:val="es-CU"/>
        </w:rPr>
        <w:t xml:space="preserve"> los manuales, informes y bases normativas mencionadas</w:t>
      </w:r>
      <w:r w:rsidR="0079374B">
        <w:rPr>
          <w:rFonts w:ascii="Arial" w:hAnsi="Arial" w:cs="Arial"/>
          <w:sz w:val="24"/>
          <w:szCs w:val="24"/>
          <w:lang w:val="es-CU"/>
        </w:rPr>
        <w:t>.</w:t>
      </w:r>
    </w:p>
    <w:p w14:paraId="2C1C39E9" w14:textId="77777777" w:rsidR="0079374B" w:rsidRDefault="00144CC8" w:rsidP="00AF7ADF">
      <w:pPr>
        <w:spacing w:after="120" w:line="240" w:lineRule="auto"/>
        <w:jc w:val="both"/>
        <w:rPr>
          <w:rFonts w:ascii="Arial" w:hAnsi="Arial" w:cs="Arial"/>
          <w:sz w:val="24"/>
          <w:szCs w:val="24"/>
          <w:lang w:val="es-CU"/>
        </w:rPr>
      </w:pPr>
      <w:r w:rsidRPr="00144CC8">
        <w:rPr>
          <w:rFonts w:ascii="Arial" w:hAnsi="Arial" w:cs="Arial"/>
          <w:sz w:val="24"/>
          <w:szCs w:val="24"/>
          <w:lang w:val="es-CU"/>
        </w:rPr>
        <w:t xml:space="preserve">La comparación </w:t>
      </w:r>
      <w:r w:rsidR="00DB707E">
        <w:rPr>
          <w:rFonts w:ascii="Arial" w:hAnsi="Arial" w:cs="Arial"/>
          <w:sz w:val="24"/>
          <w:szCs w:val="24"/>
          <w:lang w:val="es-CU"/>
        </w:rPr>
        <w:t xml:space="preserve">utiliza </w:t>
      </w:r>
      <w:r w:rsidRPr="00144CC8">
        <w:rPr>
          <w:rFonts w:ascii="Arial" w:hAnsi="Arial" w:cs="Arial"/>
          <w:sz w:val="24"/>
          <w:szCs w:val="24"/>
          <w:lang w:val="es-CU"/>
        </w:rPr>
        <w:t>un esquema de codificación común que permit</w:t>
      </w:r>
      <w:r w:rsidR="00645D38">
        <w:rPr>
          <w:rFonts w:ascii="Arial" w:hAnsi="Arial" w:cs="Arial"/>
          <w:sz w:val="24"/>
          <w:szCs w:val="24"/>
          <w:lang w:val="es-CU"/>
        </w:rPr>
        <w:t>e</w:t>
      </w:r>
      <w:r w:rsidRPr="00144CC8">
        <w:rPr>
          <w:rFonts w:ascii="Arial" w:hAnsi="Arial" w:cs="Arial"/>
          <w:sz w:val="24"/>
          <w:szCs w:val="24"/>
          <w:lang w:val="es-CU"/>
        </w:rPr>
        <w:t xml:space="preserve"> superar las diferencias terminológicas y estructurales entre los marcos examinados</w:t>
      </w:r>
      <w:r w:rsidR="00DD0112">
        <w:rPr>
          <w:rFonts w:ascii="Arial" w:hAnsi="Arial" w:cs="Arial"/>
          <w:sz w:val="24"/>
          <w:szCs w:val="24"/>
          <w:lang w:val="es-CU"/>
        </w:rPr>
        <w:t>, ya que l</w:t>
      </w:r>
      <w:r w:rsidR="00DD0112" w:rsidRPr="00DD0112">
        <w:rPr>
          <w:rFonts w:ascii="Arial" w:hAnsi="Arial" w:cs="Arial"/>
          <w:sz w:val="24"/>
          <w:szCs w:val="24"/>
          <w:lang w:val="es-CU"/>
        </w:rPr>
        <w:t xml:space="preserve">a matriz codifica explícitamente que la unidad de análisis difiere entre </w:t>
      </w:r>
      <w:r w:rsidR="00DD0112">
        <w:rPr>
          <w:rFonts w:ascii="Arial" w:hAnsi="Arial" w:cs="Arial"/>
          <w:sz w:val="24"/>
          <w:szCs w:val="24"/>
          <w:lang w:val="es-CU"/>
        </w:rPr>
        <w:t xml:space="preserve">los </w:t>
      </w:r>
      <w:r w:rsidR="00DD0112" w:rsidRPr="00DD0112">
        <w:rPr>
          <w:rFonts w:ascii="Arial" w:hAnsi="Arial" w:cs="Arial"/>
          <w:sz w:val="24"/>
          <w:szCs w:val="24"/>
          <w:lang w:val="es-CU"/>
        </w:rPr>
        <w:t>marco</w:t>
      </w:r>
      <w:r w:rsidR="00DD0112">
        <w:rPr>
          <w:rFonts w:ascii="Arial" w:hAnsi="Arial" w:cs="Arial"/>
          <w:sz w:val="24"/>
          <w:szCs w:val="24"/>
          <w:lang w:val="es-CU"/>
        </w:rPr>
        <w:t>s</w:t>
      </w:r>
      <w:r w:rsidRPr="00144CC8">
        <w:rPr>
          <w:rFonts w:ascii="Arial" w:hAnsi="Arial" w:cs="Arial"/>
          <w:sz w:val="24"/>
          <w:szCs w:val="24"/>
          <w:lang w:val="es-CU"/>
        </w:rPr>
        <w:t xml:space="preserve">. Cada indicador </w:t>
      </w:r>
      <w:r w:rsidRPr="00144CC8">
        <w:rPr>
          <w:rFonts w:ascii="Arial" w:hAnsi="Arial" w:cs="Arial"/>
          <w:sz w:val="24"/>
          <w:szCs w:val="24"/>
          <w:lang w:val="es-CU"/>
        </w:rPr>
        <w:lastRenderedPageBreak/>
        <w:t xml:space="preserve">fue clasificado según </w:t>
      </w:r>
      <w:r w:rsidR="00F33E11">
        <w:rPr>
          <w:rFonts w:ascii="Arial" w:hAnsi="Arial" w:cs="Arial"/>
          <w:sz w:val="24"/>
          <w:szCs w:val="24"/>
          <w:lang w:val="es-CU"/>
        </w:rPr>
        <w:t xml:space="preserve">9 </w:t>
      </w:r>
      <w:r w:rsidRPr="00144CC8">
        <w:rPr>
          <w:rFonts w:ascii="Arial" w:hAnsi="Arial" w:cs="Arial"/>
          <w:sz w:val="24"/>
          <w:szCs w:val="24"/>
          <w:lang w:val="es-CU"/>
        </w:rPr>
        <w:t xml:space="preserve">dimensiones analíticas: recursos financieros e I+D, recursos humanos y talento, ciencia y conocimiento, propiedad intelectual, capacidades institucionales, colaboración y redes, digitalización/TIC, sostenibilidad e impacto socioeconómico. Asimismo, los indicadores fueron ubicados según su posición predominante en la </w:t>
      </w:r>
      <w:r w:rsidR="00645D38">
        <w:rPr>
          <w:rFonts w:ascii="Arial" w:hAnsi="Arial" w:cs="Arial"/>
          <w:sz w:val="24"/>
          <w:szCs w:val="24"/>
          <w:lang w:val="es-CU"/>
        </w:rPr>
        <w:t>secuencia</w:t>
      </w:r>
      <w:r w:rsidRPr="00144CC8">
        <w:rPr>
          <w:rFonts w:ascii="Arial" w:hAnsi="Arial" w:cs="Arial"/>
          <w:sz w:val="24"/>
          <w:szCs w:val="24"/>
          <w:lang w:val="es-CU"/>
        </w:rPr>
        <w:t xml:space="preserve"> de medición de la innovación</w:t>
      </w:r>
      <w:r w:rsidR="0079374B">
        <w:rPr>
          <w:rFonts w:ascii="Arial" w:hAnsi="Arial" w:cs="Arial"/>
          <w:sz w:val="24"/>
          <w:szCs w:val="24"/>
          <w:lang w:val="es-CU"/>
        </w:rPr>
        <w:t xml:space="preserve">, </w:t>
      </w:r>
      <w:r w:rsidRPr="00144CC8">
        <w:rPr>
          <w:rFonts w:ascii="Arial" w:hAnsi="Arial" w:cs="Arial"/>
          <w:sz w:val="24"/>
          <w:szCs w:val="24"/>
          <w:lang w:val="es-CU"/>
        </w:rPr>
        <w:t>insumos, actividades/procesos, capacidades, contexto, resultados e impacto</w:t>
      </w:r>
      <w:r w:rsidR="0079374B">
        <w:rPr>
          <w:rFonts w:ascii="Arial" w:hAnsi="Arial" w:cs="Arial"/>
          <w:sz w:val="24"/>
          <w:szCs w:val="24"/>
          <w:lang w:val="es-CU"/>
        </w:rPr>
        <w:t xml:space="preserve">s, </w:t>
      </w:r>
      <w:r w:rsidRPr="00144CC8">
        <w:rPr>
          <w:rFonts w:ascii="Arial" w:hAnsi="Arial" w:cs="Arial"/>
          <w:sz w:val="24"/>
          <w:szCs w:val="24"/>
          <w:lang w:val="es-CU"/>
        </w:rPr>
        <w:t>y se registr</w:t>
      </w:r>
      <w:r w:rsidR="00645D38">
        <w:rPr>
          <w:rFonts w:ascii="Arial" w:hAnsi="Arial" w:cs="Arial"/>
          <w:sz w:val="24"/>
          <w:szCs w:val="24"/>
          <w:lang w:val="es-CU"/>
        </w:rPr>
        <w:t>a</w:t>
      </w:r>
      <w:r w:rsidRPr="00144CC8">
        <w:rPr>
          <w:rFonts w:ascii="Arial" w:hAnsi="Arial" w:cs="Arial"/>
          <w:sz w:val="24"/>
          <w:szCs w:val="24"/>
          <w:lang w:val="es-CU"/>
        </w:rPr>
        <w:t xml:space="preserve"> su orientación hacia digitalización, sostenibilidad e </w:t>
      </w:r>
      <w:r w:rsidR="00634F56">
        <w:rPr>
          <w:rFonts w:ascii="Arial" w:hAnsi="Arial" w:cs="Arial"/>
          <w:sz w:val="24"/>
          <w:szCs w:val="24"/>
          <w:lang w:val="es-CU"/>
        </w:rPr>
        <w:t>IA</w:t>
      </w:r>
      <w:r w:rsidRPr="00144CC8">
        <w:rPr>
          <w:rFonts w:ascii="Arial" w:hAnsi="Arial" w:cs="Arial"/>
          <w:sz w:val="24"/>
          <w:szCs w:val="24"/>
          <w:lang w:val="es-CU"/>
        </w:rPr>
        <w:t xml:space="preserve">. </w:t>
      </w:r>
      <w:r w:rsidR="0079374B" w:rsidRPr="00144CC8">
        <w:rPr>
          <w:rFonts w:ascii="Arial" w:hAnsi="Arial" w:cs="Arial"/>
          <w:sz w:val="24"/>
          <w:szCs w:val="24"/>
          <w:lang w:val="es-CU"/>
        </w:rPr>
        <w:t xml:space="preserve">En este último caso, se </w:t>
      </w:r>
      <w:r w:rsidR="0079374B">
        <w:rPr>
          <w:rFonts w:ascii="Arial" w:hAnsi="Arial" w:cs="Arial"/>
          <w:sz w:val="24"/>
          <w:szCs w:val="24"/>
          <w:lang w:val="es-CU"/>
        </w:rPr>
        <w:t>distingue</w:t>
      </w:r>
      <w:r w:rsidR="0079374B" w:rsidRPr="00144CC8">
        <w:rPr>
          <w:rFonts w:ascii="Arial" w:hAnsi="Arial" w:cs="Arial"/>
          <w:sz w:val="24"/>
          <w:szCs w:val="24"/>
          <w:lang w:val="es-CU"/>
        </w:rPr>
        <w:t xml:space="preserve"> entre indicadores que miden directamente fenómenos relacionados con IA y marcos que utilizan </w:t>
      </w:r>
      <w:r w:rsidR="0079374B">
        <w:rPr>
          <w:rFonts w:ascii="Arial" w:hAnsi="Arial" w:cs="Arial"/>
          <w:sz w:val="24"/>
          <w:szCs w:val="24"/>
          <w:lang w:val="es-CU"/>
        </w:rPr>
        <w:t xml:space="preserve">o exploran </w:t>
      </w:r>
      <w:r w:rsidR="0079374B" w:rsidRPr="00144CC8">
        <w:rPr>
          <w:rFonts w:ascii="Arial" w:hAnsi="Arial" w:cs="Arial"/>
          <w:sz w:val="24"/>
          <w:szCs w:val="24"/>
          <w:lang w:val="es-CU"/>
        </w:rPr>
        <w:t>IA, big data y herramientas avanzadas como medios para producir nuevos indicadores, siguiendo la evolución metodológica señalada por OECD (2018) y WIPO (2025).</w:t>
      </w:r>
    </w:p>
    <w:p w14:paraId="64E4482C" w14:textId="2A236D13" w:rsidR="00144CC8" w:rsidRPr="00144CC8" w:rsidRDefault="00144CC8" w:rsidP="00AF7ADF">
      <w:pPr>
        <w:spacing w:after="120" w:line="240" w:lineRule="auto"/>
        <w:jc w:val="both"/>
        <w:rPr>
          <w:rFonts w:ascii="Arial" w:hAnsi="Arial" w:cs="Arial"/>
          <w:sz w:val="24"/>
          <w:szCs w:val="24"/>
          <w:lang w:val="es-CU"/>
        </w:rPr>
      </w:pPr>
      <w:r w:rsidRPr="00144CC8">
        <w:rPr>
          <w:rFonts w:ascii="Arial" w:hAnsi="Arial" w:cs="Arial"/>
          <w:sz w:val="24"/>
          <w:szCs w:val="24"/>
          <w:lang w:val="es-CU"/>
        </w:rPr>
        <w:t>La codificación sigu</w:t>
      </w:r>
      <w:r w:rsidR="00645D38">
        <w:rPr>
          <w:rFonts w:ascii="Arial" w:hAnsi="Arial" w:cs="Arial"/>
          <w:sz w:val="24"/>
          <w:szCs w:val="24"/>
          <w:lang w:val="es-CU"/>
        </w:rPr>
        <w:t>e las</w:t>
      </w:r>
      <w:r w:rsidRPr="00144CC8">
        <w:rPr>
          <w:rFonts w:ascii="Arial" w:hAnsi="Arial" w:cs="Arial"/>
          <w:sz w:val="24"/>
          <w:szCs w:val="24"/>
          <w:lang w:val="es-CU"/>
        </w:rPr>
        <w:t xml:space="preserve"> reglas explícitas y homogéneas, distinguiendo entre la presencia directa de una dimensión en el indicador y su tratamiento únicamente en el marco metodológico correspondiente. Esta distinción permit</w:t>
      </w:r>
      <w:r w:rsidR="00645D38">
        <w:rPr>
          <w:rFonts w:ascii="Arial" w:hAnsi="Arial" w:cs="Arial"/>
          <w:sz w:val="24"/>
          <w:szCs w:val="24"/>
          <w:lang w:val="es-CU"/>
        </w:rPr>
        <w:t>e</w:t>
      </w:r>
      <w:r w:rsidRPr="00144CC8">
        <w:rPr>
          <w:rFonts w:ascii="Arial" w:hAnsi="Arial" w:cs="Arial"/>
          <w:sz w:val="24"/>
          <w:szCs w:val="24"/>
          <w:lang w:val="es-CU"/>
        </w:rPr>
        <w:t xml:space="preserve"> evitar inferencias no sustentadas y hacer comparable la arquitectura de sistemas construidos con diferentes objetivos y escalas de observación.</w:t>
      </w:r>
    </w:p>
    <w:p w14:paraId="24B1A9EF" w14:textId="11DE1EC6" w:rsidR="00144CC8" w:rsidRPr="00144CC8" w:rsidRDefault="00144CC8" w:rsidP="00AF7ADF">
      <w:pPr>
        <w:spacing w:after="120" w:line="240" w:lineRule="auto"/>
        <w:jc w:val="both"/>
        <w:rPr>
          <w:rFonts w:ascii="Arial" w:hAnsi="Arial" w:cs="Arial"/>
          <w:sz w:val="24"/>
          <w:szCs w:val="24"/>
          <w:lang w:val="es-CU"/>
        </w:rPr>
      </w:pPr>
      <w:r w:rsidRPr="00144CC8">
        <w:rPr>
          <w:rFonts w:ascii="Arial" w:hAnsi="Arial" w:cs="Arial"/>
          <w:sz w:val="24"/>
          <w:szCs w:val="24"/>
          <w:lang w:val="es-CU"/>
        </w:rPr>
        <w:t xml:space="preserve">Finalmente, se </w:t>
      </w:r>
      <w:r w:rsidR="00645D38" w:rsidRPr="00144CC8">
        <w:rPr>
          <w:rFonts w:ascii="Arial" w:hAnsi="Arial" w:cs="Arial"/>
          <w:sz w:val="24"/>
          <w:szCs w:val="24"/>
          <w:lang w:val="es-CU"/>
        </w:rPr>
        <w:t>efectú</w:t>
      </w:r>
      <w:r w:rsidR="00645D38">
        <w:rPr>
          <w:rFonts w:ascii="Arial" w:hAnsi="Arial" w:cs="Arial"/>
          <w:sz w:val="24"/>
          <w:szCs w:val="24"/>
          <w:lang w:val="es-CU"/>
        </w:rPr>
        <w:t>a</w:t>
      </w:r>
      <w:r w:rsidRPr="00144CC8">
        <w:rPr>
          <w:rFonts w:ascii="Arial" w:hAnsi="Arial" w:cs="Arial"/>
          <w:sz w:val="24"/>
          <w:szCs w:val="24"/>
          <w:lang w:val="es-CU"/>
        </w:rPr>
        <w:t xml:space="preserve"> un análisis transversal de frecuencias, distribución temática, etapas del proceso de innovación y presencia de dimensiones emergentes, complementado con una interpretación evolutiva de los cambios observados entre generaciones de sistemas de medición. La comparación no busca establecer una jerarquía absoluta entre los marcos, sino identificar patrones de continuidad, ampliación y reconfiguración de las lógicas de medición. </w:t>
      </w:r>
    </w:p>
    <w:p w14:paraId="4D3924EB" w14:textId="685EBDD8" w:rsidR="005B6DC1" w:rsidRDefault="005B6DC1" w:rsidP="00AF7ADF">
      <w:pPr>
        <w:spacing w:after="120" w:line="240" w:lineRule="auto"/>
        <w:jc w:val="both"/>
        <w:rPr>
          <w:rFonts w:ascii="Arial" w:hAnsi="Arial" w:cs="Arial"/>
          <w:b/>
          <w:bCs/>
          <w:sz w:val="24"/>
          <w:szCs w:val="24"/>
        </w:rPr>
      </w:pPr>
      <w:r>
        <w:rPr>
          <w:rFonts w:ascii="Arial" w:hAnsi="Arial" w:cs="Arial"/>
          <w:b/>
          <w:bCs/>
          <w:sz w:val="24"/>
          <w:szCs w:val="24"/>
        </w:rPr>
        <w:t>RESULTADOS</w:t>
      </w:r>
    </w:p>
    <w:p w14:paraId="2B0FEE1A" w14:textId="4DCBF7E3" w:rsidR="00345A0A" w:rsidRDefault="00345A0A" w:rsidP="00AF7ADF">
      <w:pPr>
        <w:spacing w:after="0" w:line="240" w:lineRule="auto"/>
        <w:jc w:val="both"/>
        <w:rPr>
          <w:rFonts w:ascii="Arial" w:hAnsi="Arial" w:cs="Arial"/>
          <w:sz w:val="24"/>
          <w:szCs w:val="24"/>
          <w:lang w:val="es-CU"/>
        </w:rPr>
      </w:pPr>
      <w:r>
        <w:rPr>
          <w:rFonts w:ascii="Arial" w:hAnsi="Arial" w:cs="Arial"/>
          <w:sz w:val="24"/>
          <w:szCs w:val="24"/>
          <w:lang w:val="es-CU"/>
        </w:rPr>
        <w:t xml:space="preserve">La </w:t>
      </w:r>
      <w:r w:rsidR="005054B7">
        <w:rPr>
          <w:rFonts w:ascii="Arial" w:hAnsi="Arial" w:cs="Arial"/>
          <w:sz w:val="24"/>
          <w:szCs w:val="24"/>
          <w:lang w:val="es-CU"/>
        </w:rPr>
        <w:t>comparación</w:t>
      </w:r>
      <w:r w:rsidR="00EF242B">
        <w:rPr>
          <w:rFonts w:ascii="Arial" w:hAnsi="Arial" w:cs="Arial"/>
          <w:sz w:val="24"/>
          <w:szCs w:val="24"/>
          <w:lang w:val="es-CU"/>
        </w:rPr>
        <w:t xml:space="preserve"> </w:t>
      </w:r>
      <w:r w:rsidR="00B5605D">
        <w:rPr>
          <w:rFonts w:ascii="Arial" w:hAnsi="Arial" w:cs="Arial"/>
          <w:sz w:val="24"/>
          <w:szCs w:val="24"/>
          <w:lang w:val="es-CU"/>
        </w:rPr>
        <w:t xml:space="preserve">de los indicadores de innovación </w:t>
      </w:r>
      <w:r>
        <w:rPr>
          <w:rFonts w:ascii="Arial" w:hAnsi="Arial" w:cs="Arial"/>
          <w:sz w:val="24"/>
          <w:szCs w:val="24"/>
          <w:lang w:val="es-CU"/>
        </w:rPr>
        <w:t xml:space="preserve">según </w:t>
      </w:r>
      <w:r w:rsidR="00B5605D">
        <w:rPr>
          <w:rFonts w:ascii="Arial" w:hAnsi="Arial" w:cs="Arial"/>
          <w:sz w:val="24"/>
          <w:szCs w:val="24"/>
          <w:lang w:val="es-CU"/>
        </w:rPr>
        <w:t xml:space="preserve">las </w:t>
      </w:r>
      <w:r w:rsidR="00EF242B">
        <w:rPr>
          <w:rFonts w:ascii="Arial" w:hAnsi="Arial" w:cs="Arial"/>
          <w:sz w:val="24"/>
          <w:szCs w:val="24"/>
          <w:lang w:val="es-CU"/>
        </w:rPr>
        <w:t>9</w:t>
      </w:r>
      <w:r w:rsidRPr="00144CC8">
        <w:rPr>
          <w:rFonts w:ascii="Arial" w:hAnsi="Arial" w:cs="Arial"/>
          <w:sz w:val="24"/>
          <w:szCs w:val="24"/>
          <w:lang w:val="es-CU"/>
        </w:rPr>
        <w:t xml:space="preserve"> dimensiones analíticas</w:t>
      </w:r>
      <w:r w:rsidR="00B5605D">
        <w:rPr>
          <w:rFonts w:ascii="Arial" w:hAnsi="Arial" w:cs="Arial"/>
          <w:sz w:val="24"/>
          <w:szCs w:val="24"/>
          <w:lang w:val="es-CU"/>
        </w:rPr>
        <w:t xml:space="preserve"> propuestas</w:t>
      </w:r>
      <w:r w:rsidR="0079374B">
        <w:rPr>
          <w:rFonts w:ascii="Arial" w:hAnsi="Arial" w:cs="Arial"/>
          <w:sz w:val="24"/>
          <w:szCs w:val="24"/>
          <w:lang w:val="es-CU"/>
        </w:rPr>
        <w:t xml:space="preserve"> se </w:t>
      </w:r>
      <w:r w:rsidR="00B5605D">
        <w:rPr>
          <w:rFonts w:ascii="Arial" w:hAnsi="Arial" w:cs="Arial"/>
          <w:sz w:val="24"/>
          <w:szCs w:val="24"/>
          <w:lang w:val="es-CU"/>
        </w:rPr>
        <w:t>presenta en la tabla 2</w:t>
      </w:r>
      <w:r w:rsidR="0079374B">
        <w:rPr>
          <w:rFonts w:ascii="Arial" w:hAnsi="Arial" w:cs="Arial"/>
          <w:sz w:val="24"/>
          <w:szCs w:val="24"/>
          <w:lang w:val="es-CU"/>
        </w:rPr>
        <w:t xml:space="preserve"> y</w:t>
      </w:r>
      <w:r w:rsidR="00DB61EC">
        <w:rPr>
          <w:rFonts w:ascii="Arial" w:hAnsi="Arial" w:cs="Arial"/>
          <w:sz w:val="24"/>
          <w:szCs w:val="24"/>
          <w:lang w:val="es-CU"/>
        </w:rPr>
        <w:t xml:space="preserve"> evidenc</w:t>
      </w:r>
      <w:r w:rsidR="0079374B">
        <w:rPr>
          <w:rFonts w:ascii="Arial" w:hAnsi="Arial" w:cs="Arial"/>
          <w:sz w:val="24"/>
          <w:szCs w:val="24"/>
          <w:lang w:val="es-CU"/>
        </w:rPr>
        <w:t>ia</w:t>
      </w:r>
      <w:r w:rsidR="00DB61EC">
        <w:rPr>
          <w:rFonts w:ascii="Arial" w:hAnsi="Arial" w:cs="Arial"/>
          <w:sz w:val="24"/>
          <w:szCs w:val="24"/>
          <w:lang w:val="es-CU"/>
        </w:rPr>
        <w:t xml:space="preserve"> que </w:t>
      </w:r>
      <w:r w:rsidR="00DB61EC" w:rsidRPr="00DB61EC">
        <w:rPr>
          <w:rFonts w:ascii="Arial" w:hAnsi="Arial" w:cs="Arial"/>
          <w:sz w:val="24"/>
          <w:szCs w:val="24"/>
        </w:rPr>
        <w:t>los manuales metodológicos clásicos</w:t>
      </w:r>
      <w:r w:rsidR="00DB61EC">
        <w:rPr>
          <w:rFonts w:ascii="Arial" w:hAnsi="Arial" w:cs="Arial"/>
          <w:sz w:val="24"/>
          <w:szCs w:val="24"/>
        </w:rPr>
        <w:t xml:space="preserve"> </w:t>
      </w:r>
      <w:r w:rsidR="0079374B">
        <w:rPr>
          <w:rFonts w:ascii="Arial" w:hAnsi="Arial" w:cs="Arial"/>
          <w:sz w:val="24"/>
          <w:szCs w:val="24"/>
        </w:rPr>
        <w:t xml:space="preserve">su </w:t>
      </w:r>
      <w:r w:rsidR="00DB61EC" w:rsidRPr="00DB61EC">
        <w:rPr>
          <w:rFonts w:ascii="Arial" w:hAnsi="Arial" w:cs="Arial"/>
          <w:sz w:val="24"/>
          <w:szCs w:val="24"/>
        </w:rPr>
        <w:t>objetivo principal no es construir índices integrales de innovación, sino caracterizar capacidades científicas, tecnológicas y de I+D.</w:t>
      </w:r>
      <w:r w:rsidR="00DB61EC">
        <w:rPr>
          <w:rFonts w:ascii="Arial" w:hAnsi="Arial" w:cs="Arial"/>
          <w:sz w:val="24"/>
          <w:szCs w:val="24"/>
        </w:rPr>
        <w:t xml:space="preserve"> </w:t>
      </w:r>
    </w:p>
    <w:p w14:paraId="3753EF20" w14:textId="2C315AE5" w:rsidR="00B5605D" w:rsidRPr="00B5605D" w:rsidRDefault="00B5605D" w:rsidP="00AF7ADF">
      <w:pPr>
        <w:spacing w:after="0" w:line="240" w:lineRule="auto"/>
        <w:jc w:val="center"/>
        <w:rPr>
          <w:rFonts w:ascii="Arial" w:hAnsi="Arial" w:cs="Arial"/>
          <w:b/>
          <w:bCs/>
          <w:sz w:val="20"/>
          <w:szCs w:val="20"/>
        </w:rPr>
      </w:pPr>
      <w:r w:rsidRPr="00B5605D">
        <w:rPr>
          <w:rFonts w:ascii="Arial" w:hAnsi="Arial" w:cs="Arial"/>
          <w:b/>
          <w:bCs/>
          <w:sz w:val="20"/>
          <w:szCs w:val="20"/>
        </w:rPr>
        <w:t>Tabla 2 Análisis comparativo de los indicadores de medición de innovación</w:t>
      </w:r>
    </w:p>
    <w:tbl>
      <w:tblPr>
        <w:tblStyle w:val="Tablaconcuadrcula"/>
        <w:tblW w:w="8244" w:type="dxa"/>
        <w:jc w:val="center"/>
        <w:tblLook w:val="04A0" w:firstRow="1" w:lastRow="0" w:firstColumn="1" w:lastColumn="0" w:noHBand="0" w:noVBand="1"/>
      </w:tblPr>
      <w:tblGrid>
        <w:gridCol w:w="2695"/>
        <w:gridCol w:w="1214"/>
        <w:gridCol w:w="1213"/>
        <w:gridCol w:w="858"/>
        <w:gridCol w:w="719"/>
        <w:gridCol w:w="719"/>
        <w:gridCol w:w="826"/>
      </w:tblGrid>
      <w:tr w:rsidR="005803D4" w14:paraId="1883DEF0" w14:textId="12D9E4CB" w:rsidTr="0002667A">
        <w:trPr>
          <w:jc w:val="center"/>
        </w:trPr>
        <w:tc>
          <w:tcPr>
            <w:tcW w:w="2695" w:type="dxa"/>
          </w:tcPr>
          <w:p w14:paraId="095285B2" w14:textId="10C145C7" w:rsidR="005803D4" w:rsidRPr="007D1E27" w:rsidRDefault="005803D4" w:rsidP="00AF7ADF">
            <w:pPr>
              <w:spacing w:line="240" w:lineRule="auto"/>
              <w:jc w:val="both"/>
              <w:rPr>
                <w:b/>
                <w:bCs/>
              </w:rPr>
            </w:pPr>
            <w:r w:rsidRPr="007D1E27">
              <w:rPr>
                <w:b/>
                <w:bCs/>
              </w:rPr>
              <w:t>Dimensión</w:t>
            </w:r>
          </w:p>
        </w:tc>
        <w:tc>
          <w:tcPr>
            <w:tcW w:w="1214" w:type="dxa"/>
            <w:vAlign w:val="center"/>
          </w:tcPr>
          <w:p w14:paraId="3DDFC0CD" w14:textId="491AFA0B" w:rsidR="005803D4" w:rsidRPr="007D1E27" w:rsidRDefault="005803D4" w:rsidP="00AF7ADF">
            <w:pPr>
              <w:spacing w:line="240" w:lineRule="auto"/>
              <w:jc w:val="both"/>
              <w:rPr>
                <w:rFonts w:ascii="Arial" w:hAnsi="Arial" w:cs="Arial"/>
                <w:b/>
                <w:bCs/>
                <w:sz w:val="24"/>
                <w:szCs w:val="24"/>
              </w:rPr>
            </w:pPr>
            <w:r w:rsidRPr="007D1E27">
              <w:rPr>
                <w:b/>
                <w:bCs/>
              </w:rPr>
              <w:t>Manual de Frascati</w:t>
            </w:r>
          </w:p>
        </w:tc>
        <w:tc>
          <w:tcPr>
            <w:tcW w:w="1213" w:type="dxa"/>
          </w:tcPr>
          <w:p w14:paraId="4BF448B8" w14:textId="6CE0325A" w:rsidR="005803D4" w:rsidRPr="007D1E27" w:rsidRDefault="005803D4" w:rsidP="00AF7ADF">
            <w:pPr>
              <w:spacing w:line="240" w:lineRule="auto"/>
              <w:jc w:val="both"/>
              <w:rPr>
                <w:rFonts w:ascii="Arial" w:hAnsi="Arial" w:cs="Arial"/>
                <w:b/>
                <w:bCs/>
                <w:sz w:val="24"/>
                <w:szCs w:val="24"/>
              </w:rPr>
            </w:pPr>
            <w:r w:rsidRPr="007D1E27">
              <w:rPr>
                <w:b/>
                <w:bCs/>
              </w:rPr>
              <w:t>Manual de Oslo</w:t>
            </w:r>
          </w:p>
        </w:tc>
        <w:tc>
          <w:tcPr>
            <w:tcW w:w="858" w:type="dxa"/>
          </w:tcPr>
          <w:p w14:paraId="7596A949" w14:textId="566081BB" w:rsidR="005803D4" w:rsidRPr="007D1E27" w:rsidRDefault="005803D4" w:rsidP="00AF7ADF">
            <w:pPr>
              <w:spacing w:line="240" w:lineRule="auto"/>
              <w:jc w:val="both"/>
              <w:rPr>
                <w:rFonts w:ascii="Arial" w:hAnsi="Arial" w:cs="Arial"/>
                <w:b/>
                <w:bCs/>
                <w:sz w:val="24"/>
                <w:szCs w:val="24"/>
              </w:rPr>
            </w:pPr>
            <w:r w:rsidRPr="007D1E27">
              <w:rPr>
                <w:b/>
                <w:bCs/>
              </w:rPr>
              <w:t>RICYT</w:t>
            </w:r>
          </w:p>
        </w:tc>
        <w:tc>
          <w:tcPr>
            <w:tcW w:w="719" w:type="dxa"/>
          </w:tcPr>
          <w:p w14:paraId="2FE94BAF" w14:textId="0A54D1B8" w:rsidR="005803D4" w:rsidRPr="007D1E27" w:rsidRDefault="005803D4" w:rsidP="00AF7ADF">
            <w:pPr>
              <w:spacing w:line="240" w:lineRule="auto"/>
              <w:jc w:val="both"/>
              <w:rPr>
                <w:rFonts w:ascii="Arial" w:hAnsi="Arial" w:cs="Arial"/>
                <w:b/>
                <w:bCs/>
                <w:sz w:val="24"/>
                <w:szCs w:val="24"/>
              </w:rPr>
            </w:pPr>
            <w:r w:rsidRPr="007D1E27">
              <w:rPr>
                <w:b/>
                <w:bCs/>
              </w:rPr>
              <w:t>GII</w:t>
            </w:r>
          </w:p>
        </w:tc>
        <w:tc>
          <w:tcPr>
            <w:tcW w:w="719" w:type="dxa"/>
          </w:tcPr>
          <w:p w14:paraId="24093D49" w14:textId="3F10DA2A" w:rsidR="005803D4" w:rsidRPr="007D1E27" w:rsidRDefault="005803D4" w:rsidP="00AF7ADF">
            <w:pPr>
              <w:spacing w:line="240" w:lineRule="auto"/>
              <w:jc w:val="both"/>
              <w:rPr>
                <w:rFonts w:ascii="Arial" w:hAnsi="Arial" w:cs="Arial"/>
                <w:b/>
                <w:bCs/>
                <w:sz w:val="24"/>
                <w:szCs w:val="24"/>
              </w:rPr>
            </w:pPr>
            <w:r w:rsidRPr="007D1E27">
              <w:rPr>
                <w:b/>
                <w:bCs/>
              </w:rPr>
              <w:t>EIS</w:t>
            </w:r>
          </w:p>
        </w:tc>
        <w:tc>
          <w:tcPr>
            <w:tcW w:w="826" w:type="dxa"/>
          </w:tcPr>
          <w:p w14:paraId="1180E2A7" w14:textId="12B8C5E4" w:rsidR="005803D4" w:rsidRPr="007D1E27" w:rsidRDefault="005803D4" w:rsidP="00AF7ADF">
            <w:pPr>
              <w:spacing w:line="240" w:lineRule="auto"/>
              <w:jc w:val="both"/>
              <w:rPr>
                <w:rFonts w:ascii="Arial" w:hAnsi="Arial" w:cs="Arial"/>
                <w:b/>
                <w:bCs/>
                <w:sz w:val="24"/>
                <w:szCs w:val="24"/>
              </w:rPr>
            </w:pPr>
            <w:r w:rsidRPr="007D1E27">
              <w:rPr>
                <w:b/>
                <w:bCs/>
              </w:rPr>
              <w:t>CITMA</w:t>
            </w:r>
          </w:p>
        </w:tc>
      </w:tr>
      <w:tr w:rsidR="005803D4" w14:paraId="609D7E5C" w14:textId="27B31884" w:rsidTr="00B05853">
        <w:trPr>
          <w:jc w:val="center"/>
        </w:trPr>
        <w:tc>
          <w:tcPr>
            <w:tcW w:w="2695" w:type="dxa"/>
          </w:tcPr>
          <w:p w14:paraId="160C4E7E" w14:textId="592590ED" w:rsidR="005803D4" w:rsidRPr="007D1E27" w:rsidRDefault="005803D4" w:rsidP="00AF7ADF">
            <w:pPr>
              <w:spacing w:line="240" w:lineRule="auto"/>
              <w:jc w:val="both"/>
              <w:rPr>
                <w:rFonts w:ascii="Arial" w:hAnsi="Arial" w:cs="Arial"/>
                <w:sz w:val="24"/>
                <w:szCs w:val="24"/>
              </w:rPr>
            </w:pPr>
            <w:r w:rsidRPr="007D1E27">
              <w:t>Finanzas/I+D</w:t>
            </w:r>
          </w:p>
        </w:tc>
        <w:tc>
          <w:tcPr>
            <w:tcW w:w="1214" w:type="dxa"/>
            <w:vAlign w:val="center"/>
          </w:tcPr>
          <w:p w14:paraId="712BFF2D" w14:textId="378B1FF0" w:rsidR="005803D4" w:rsidRPr="00B05853" w:rsidRDefault="005803D4" w:rsidP="00AF7ADF">
            <w:pPr>
              <w:spacing w:line="240" w:lineRule="auto"/>
              <w:jc w:val="center"/>
              <w:rPr>
                <w:rFonts w:cstheme="minorHAnsi"/>
              </w:rPr>
            </w:pPr>
            <w:r w:rsidRPr="00B05853">
              <w:rPr>
                <w:rFonts w:cstheme="minorHAnsi"/>
              </w:rPr>
              <w:t>4</w:t>
            </w:r>
          </w:p>
        </w:tc>
        <w:tc>
          <w:tcPr>
            <w:tcW w:w="1213" w:type="dxa"/>
            <w:vAlign w:val="center"/>
          </w:tcPr>
          <w:p w14:paraId="3FE96586" w14:textId="3AC3EF3A" w:rsidR="005803D4" w:rsidRPr="00B05853" w:rsidRDefault="005803D4" w:rsidP="00AF7ADF">
            <w:pPr>
              <w:spacing w:line="240" w:lineRule="auto"/>
              <w:jc w:val="center"/>
              <w:rPr>
                <w:rFonts w:cstheme="minorHAnsi"/>
              </w:rPr>
            </w:pPr>
            <w:r w:rsidRPr="00B05853">
              <w:rPr>
                <w:rFonts w:cstheme="minorHAnsi"/>
              </w:rPr>
              <w:t>5</w:t>
            </w:r>
          </w:p>
        </w:tc>
        <w:tc>
          <w:tcPr>
            <w:tcW w:w="858" w:type="dxa"/>
            <w:vAlign w:val="center"/>
          </w:tcPr>
          <w:p w14:paraId="77E8890A" w14:textId="1AD38832" w:rsidR="005803D4" w:rsidRPr="00B05853" w:rsidRDefault="005803D4" w:rsidP="00AF7ADF">
            <w:pPr>
              <w:spacing w:line="240" w:lineRule="auto"/>
              <w:jc w:val="center"/>
              <w:rPr>
                <w:rFonts w:cstheme="minorHAnsi"/>
              </w:rPr>
            </w:pPr>
            <w:r w:rsidRPr="00B05853">
              <w:rPr>
                <w:rFonts w:cstheme="minorHAnsi"/>
              </w:rPr>
              <w:t>6</w:t>
            </w:r>
          </w:p>
        </w:tc>
        <w:tc>
          <w:tcPr>
            <w:tcW w:w="719" w:type="dxa"/>
            <w:vAlign w:val="center"/>
          </w:tcPr>
          <w:p w14:paraId="2EDE29CA" w14:textId="6891C5B0" w:rsidR="005803D4" w:rsidRPr="00B05853" w:rsidRDefault="005803D4" w:rsidP="00AF7ADF">
            <w:pPr>
              <w:spacing w:line="240" w:lineRule="auto"/>
              <w:jc w:val="center"/>
              <w:rPr>
                <w:rFonts w:cstheme="minorHAnsi"/>
              </w:rPr>
            </w:pPr>
            <w:r w:rsidRPr="00B05853">
              <w:rPr>
                <w:rFonts w:cstheme="minorHAnsi"/>
              </w:rPr>
              <w:t>10</w:t>
            </w:r>
          </w:p>
        </w:tc>
        <w:tc>
          <w:tcPr>
            <w:tcW w:w="719" w:type="dxa"/>
            <w:vAlign w:val="center"/>
          </w:tcPr>
          <w:p w14:paraId="1BF5E641" w14:textId="68FF9ED4" w:rsidR="005803D4" w:rsidRPr="00B05853" w:rsidRDefault="005803D4" w:rsidP="00AF7ADF">
            <w:pPr>
              <w:spacing w:line="240" w:lineRule="auto"/>
              <w:jc w:val="center"/>
              <w:rPr>
                <w:rFonts w:cstheme="minorHAnsi"/>
              </w:rPr>
            </w:pPr>
            <w:r w:rsidRPr="00B05853">
              <w:rPr>
                <w:rFonts w:cstheme="minorHAnsi"/>
              </w:rPr>
              <w:t>6</w:t>
            </w:r>
          </w:p>
        </w:tc>
        <w:tc>
          <w:tcPr>
            <w:tcW w:w="826" w:type="dxa"/>
            <w:vAlign w:val="center"/>
          </w:tcPr>
          <w:p w14:paraId="438F041C" w14:textId="00D8521C" w:rsidR="005803D4" w:rsidRPr="00B05853" w:rsidRDefault="005803D4" w:rsidP="00AF7ADF">
            <w:pPr>
              <w:spacing w:line="240" w:lineRule="auto"/>
              <w:jc w:val="center"/>
              <w:rPr>
                <w:rFonts w:cstheme="minorHAnsi"/>
              </w:rPr>
            </w:pPr>
            <w:r w:rsidRPr="00B05853">
              <w:rPr>
                <w:rFonts w:cstheme="minorHAnsi"/>
              </w:rPr>
              <w:t>2</w:t>
            </w:r>
          </w:p>
        </w:tc>
      </w:tr>
      <w:tr w:rsidR="005803D4" w14:paraId="5B2A0EC2" w14:textId="1A0DD4C0" w:rsidTr="00B05853">
        <w:trPr>
          <w:jc w:val="center"/>
        </w:trPr>
        <w:tc>
          <w:tcPr>
            <w:tcW w:w="2695" w:type="dxa"/>
          </w:tcPr>
          <w:p w14:paraId="1505879C" w14:textId="0C0DB010" w:rsidR="005803D4" w:rsidRPr="007D1E27" w:rsidRDefault="005803D4" w:rsidP="00AF7ADF">
            <w:pPr>
              <w:spacing w:line="240" w:lineRule="auto"/>
              <w:jc w:val="both"/>
              <w:rPr>
                <w:rFonts w:ascii="Arial" w:hAnsi="Arial" w:cs="Arial"/>
                <w:sz w:val="24"/>
                <w:szCs w:val="24"/>
              </w:rPr>
            </w:pPr>
            <w:r w:rsidRPr="007D1E27">
              <w:t>Talento/RRHH</w:t>
            </w:r>
          </w:p>
        </w:tc>
        <w:tc>
          <w:tcPr>
            <w:tcW w:w="1214" w:type="dxa"/>
            <w:vAlign w:val="center"/>
          </w:tcPr>
          <w:p w14:paraId="10302CA3" w14:textId="1F9B1597" w:rsidR="005803D4" w:rsidRPr="00B05853" w:rsidRDefault="005803D4" w:rsidP="00AF7ADF">
            <w:pPr>
              <w:spacing w:line="240" w:lineRule="auto"/>
              <w:jc w:val="center"/>
              <w:rPr>
                <w:rFonts w:cstheme="minorHAnsi"/>
              </w:rPr>
            </w:pPr>
            <w:r w:rsidRPr="00B05853">
              <w:rPr>
                <w:rFonts w:cstheme="minorHAnsi"/>
              </w:rPr>
              <w:t>2</w:t>
            </w:r>
          </w:p>
        </w:tc>
        <w:tc>
          <w:tcPr>
            <w:tcW w:w="1213" w:type="dxa"/>
            <w:vAlign w:val="center"/>
          </w:tcPr>
          <w:p w14:paraId="232D2F33" w14:textId="09BD5B24" w:rsidR="005803D4" w:rsidRPr="00B05853" w:rsidRDefault="005803D4" w:rsidP="00AF7ADF">
            <w:pPr>
              <w:spacing w:line="240" w:lineRule="auto"/>
              <w:jc w:val="center"/>
              <w:rPr>
                <w:rFonts w:cstheme="minorHAnsi"/>
              </w:rPr>
            </w:pPr>
            <w:r w:rsidRPr="00B05853">
              <w:rPr>
                <w:rFonts w:cstheme="minorHAnsi"/>
              </w:rPr>
              <w:t>2</w:t>
            </w:r>
          </w:p>
        </w:tc>
        <w:tc>
          <w:tcPr>
            <w:tcW w:w="858" w:type="dxa"/>
            <w:vAlign w:val="center"/>
          </w:tcPr>
          <w:p w14:paraId="17788408" w14:textId="401C9897" w:rsidR="005803D4" w:rsidRPr="00B05853" w:rsidRDefault="005803D4" w:rsidP="00AF7ADF">
            <w:pPr>
              <w:spacing w:line="240" w:lineRule="auto"/>
              <w:jc w:val="center"/>
              <w:rPr>
                <w:rFonts w:cstheme="minorHAnsi"/>
              </w:rPr>
            </w:pPr>
            <w:r w:rsidRPr="00B05853">
              <w:rPr>
                <w:rFonts w:cstheme="minorHAnsi"/>
              </w:rPr>
              <w:t>3</w:t>
            </w:r>
          </w:p>
        </w:tc>
        <w:tc>
          <w:tcPr>
            <w:tcW w:w="719" w:type="dxa"/>
            <w:vAlign w:val="center"/>
          </w:tcPr>
          <w:p w14:paraId="056DEBD8" w14:textId="0265202F" w:rsidR="005803D4" w:rsidRPr="00B05853" w:rsidRDefault="005803D4" w:rsidP="00AF7ADF">
            <w:pPr>
              <w:spacing w:line="240" w:lineRule="auto"/>
              <w:jc w:val="center"/>
              <w:rPr>
                <w:rFonts w:cstheme="minorHAnsi"/>
              </w:rPr>
            </w:pPr>
            <w:r w:rsidRPr="00B05853">
              <w:rPr>
                <w:rFonts w:cstheme="minorHAnsi"/>
              </w:rPr>
              <w:t>11</w:t>
            </w:r>
          </w:p>
        </w:tc>
        <w:tc>
          <w:tcPr>
            <w:tcW w:w="719" w:type="dxa"/>
            <w:vAlign w:val="center"/>
          </w:tcPr>
          <w:p w14:paraId="64FD7523" w14:textId="317D1856" w:rsidR="005803D4" w:rsidRPr="00B05853" w:rsidRDefault="005803D4" w:rsidP="00AF7ADF">
            <w:pPr>
              <w:spacing w:line="240" w:lineRule="auto"/>
              <w:jc w:val="center"/>
              <w:rPr>
                <w:rFonts w:cstheme="minorHAnsi"/>
              </w:rPr>
            </w:pPr>
            <w:r w:rsidRPr="00B05853">
              <w:rPr>
                <w:rFonts w:cstheme="minorHAnsi"/>
              </w:rPr>
              <w:t>6</w:t>
            </w:r>
          </w:p>
        </w:tc>
        <w:tc>
          <w:tcPr>
            <w:tcW w:w="826" w:type="dxa"/>
            <w:vAlign w:val="center"/>
          </w:tcPr>
          <w:p w14:paraId="6A83BE57" w14:textId="55011136" w:rsidR="005803D4" w:rsidRPr="00B05853" w:rsidRDefault="005803D4" w:rsidP="00AF7ADF">
            <w:pPr>
              <w:spacing w:line="240" w:lineRule="auto"/>
              <w:jc w:val="center"/>
              <w:rPr>
                <w:rFonts w:cstheme="minorHAnsi"/>
              </w:rPr>
            </w:pPr>
            <w:r w:rsidRPr="00B05853">
              <w:rPr>
                <w:rFonts w:cstheme="minorHAnsi"/>
              </w:rPr>
              <w:t>18</w:t>
            </w:r>
          </w:p>
        </w:tc>
      </w:tr>
      <w:tr w:rsidR="005803D4" w14:paraId="441E0F58" w14:textId="7708F0EA" w:rsidTr="00B05853">
        <w:trPr>
          <w:jc w:val="center"/>
        </w:trPr>
        <w:tc>
          <w:tcPr>
            <w:tcW w:w="2695" w:type="dxa"/>
          </w:tcPr>
          <w:p w14:paraId="77850BAE" w14:textId="0AFDB175" w:rsidR="005803D4" w:rsidRPr="007D1E27" w:rsidRDefault="005803D4" w:rsidP="00AF7ADF">
            <w:pPr>
              <w:spacing w:line="240" w:lineRule="auto"/>
              <w:jc w:val="both"/>
              <w:rPr>
                <w:rFonts w:ascii="Arial" w:hAnsi="Arial" w:cs="Arial"/>
                <w:sz w:val="24"/>
                <w:szCs w:val="24"/>
              </w:rPr>
            </w:pPr>
            <w:r w:rsidRPr="007D1E27">
              <w:t>Ciencia/conocimiento</w:t>
            </w:r>
          </w:p>
        </w:tc>
        <w:tc>
          <w:tcPr>
            <w:tcW w:w="1214" w:type="dxa"/>
            <w:vAlign w:val="center"/>
          </w:tcPr>
          <w:p w14:paraId="461DFEEF" w14:textId="33D03FD5" w:rsidR="005803D4" w:rsidRPr="00B05853" w:rsidRDefault="005803D4" w:rsidP="00AF7ADF">
            <w:pPr>
              <w:spacing w:line="240" w:lineRule="auto"/>
              <w:jc w:val="center"/>
              <w:rPr>
                <w:rFonts w:cstheme="minorHAnsi"/>
              </w:rPr>
            </w:pPr>
            <w:r w:rsidRPr="00B05853">
              <w:rPr>
                <w:rFonts w:cstheme="minorHAnsi"/>
              </w:rPr>
              <w:t>0</w:t>
            </w:r>
          </w:p>
        </w:tc>
        <w:tc>
          <w:tcPr>
            <w:tcW w:w="1213" w:type="dxa"/>
            <w:vAlign w:val="center"/>
          </w:tcPr>
          <w:p w14:paraId="07C9DFE2" w14:textId="514181A6" w:rsidR="005803D4" w:rsidRPr="00B05853" w:rsidRDefault="005803D4" w:rsidP="00AF7ADF">
            <w:pPr>
              <w:spacing w:line="240" w:lineRule="auto"/>
              <w:jc w:val="center"/>
              <w:rPr>
                <w:rFonts w:cstheme="minorHAnsi"/>
              </w:rPr>
            </w:pPr>
            <w:r w:rsidRPr="00B05853">
              <w:rPr>
                <w:rFonts w:cstheme="minorHAnsi"/>
              </w:rPr>
              <w:t>0</w:t>
            </w:r>
          </w:p>
        </w:tc>
        <w:tc>
          <w:tcPr>
            <w:tcW w:w="858" w:type="dxa"/>
            <w:vAlign w:val="center"/>
          </w:tcPr>
          <w:p w14:paraId="669E9866" w14:textId="2416BC10" w:rsidR="005803D4" w:rsidRPr="00B05853" w:rsidRDefault="005803D4" w:rsidP="00AF7ADF">
            <w:pPr>
              <w:spacing w:line="240" w:lineRule="auto"/>
              <w:jc w:val="center"/>
              <w:rPr>
                <w:rFonts w:cstheme="minorHAnsi"/>
              </w:rPr>
            </w:pPr>
            <w:r w:rsidRPr="00B05853">
              <w:rPr>
                <w:rFonts w:cstheme="minorHAnsi"/>
              </w:rPr>
              <w:t>3</w:t>
            </w:r>
          </w:p>
        </w:tc>
        <w:tc>
          <w:tcPr>
            <w:tcW w:w="719" w:type="dxa"/>
            <w:vAlign w:val="center"/>
          </w:tcPr>
          <w:p w14:paraId="6D495CD7" w14:textId="7C90679D" w:rsidR="005803D4" w:rsidRPr="00B05853" w:rsidRDefault="005803D4" w:rsidP="00AF7ADF">
            <w:pPr>
              <w:spacing w:line="240" w:lineRule="auto"/>
              <w:jc w:val="center"/>
              <w:rPr>
                <w:rFonts w:cstheme="minorHAnsi"/>
              </w:rPr>
            </w:pPr>
            <w:r w:rsidRPr="00B05853">
              <w:rPr>
                <w:rFonts w:cstheme="minorHAnsi"/>
              </w:rPr>
              <w:t>6</w:t>
            </w:r>
          </w:p>
        </w:tc>
        <w:tc>
          <w:tcPr>
            <w:tcW w:w="719" w:type="dxa"/>
            <w:vAlign w:val="center"/>
          </w:tcPr>
          <w:p w14:paraId="327B9180" w14:textId="271B759C" w:rsidR="005803D4" w:rsidRPr="00B05853" w:rsidRDefault="005803D4" w:rsidP="00AF7ADF">
            <w:pPr>
              <w:spacing w:line="240" w:lineRule="auto"/>
              <w:jc w:val="center"/>
              <w:rPr>
                <w:rFonts w:cstheme="minorHAnsi"/>
              </w:rPr>
            </w:pPr>
            <w:r w:rsidRPr="00B05853">
              <w:rPr>
                <w:rFonts w:cstheme="minorHAnsi"/>
              </w:rPr>
              <w:t>3</w:t>
            </w:r>
          </w:p>
        </w:tc>
        <w:tc>
          <w:tcPr>
            <w:tcW w:w="826" w:type="dxa"/>
            <w:vAlign w:val="center"/>
          </w:tcPr>
          <w:p w14:paraId="4989BCD5" w14:textId="24FE2AF9" w:rsidR="005803D4" w:rsidRPr="00B05853" w:rsidRDefault="005803D4" w:rsidP="00AF7ADF">
            <w:pPr>
              <w:spacing w:line="240" w:lineRule="auto"/>
              <w:jc w:val="center"/>
              <w:rPr>
                <w:rFonts w:cstheme="minorHAnsi"/>
              </w:rPr>
            </w:pPr>
            <w:r w:rsidRPr="00B05853">
              <w:rPr>
                <w:rFonts w:cstheme="minorHAnsi"/>
              </w:rPr>
              <w:t>8</w:t>
            </w:r>
          </w:p>
        </w:tc>
      </w:tr>
      <w:tr w:rsidR="005803D4" w14:paraId="06E067B3" w14:textId="392975B3" w:rsidTr="00B05853">
        <w:trPr>
          <w:jc w:val="center"/>
        </w:trPr>
        <w:tc>
          <w:tcPr>
            <w:tcW w:w="2695" w:type="dxa"/>
          </w:tcPr>
          <w:p w14:paraId="503F8640" w14:textId="53DFD985" w:rsidR="005803D4" w:rsidRPr="007D1E27" w:rsidRDefault="005803D4" w:rsidP="00AF7ADF">
            <w:pPr>
              <w:spacing w:line="240" w:lineRule="auto"/>
              <w:jc w:val="both"/>
              <w:rPr>
                <w:rFonts w:ascii="Arial" w:hAnsi="Arial" w:cs="Arial"/>
                <w:sz w:val="24"/>
                <w:szCs w:val="24"/>
              </w:rPr>
            </w:pPr>
            <w:r w:rsidRPr="007D1E27">
              <w:t>Propiedad intelectual</w:t>
            </w:r>
          </w:p>
        </w:tc>
        <w:tc>
          <w:tcPr>
            <w:tcW w:w="1214" w:type="dxa"/>
            <w:vAlign w:val="center"/>
          </w:tcPr>
          <w:p w14:paraId="300E1294" w14:textId="489B2EBA" w:rsidR="005803D4" w:rsidRPr="00B05853" w:rsidRDefault="005803D4" w:rsidP="00AF7ADF">
            <w:pPr>
              <w:spacing w:line="240" w:lineRule="auto"/>
              <w:jc w:val="center"/>
              <w:rPr>
                <w:rFonts w:cstheme="minorHAnsi"/>
              </w:rPr>
            </w:pPr>
            <w:r w:rsidRPr="00B05853">
              <w:rPr>
                <w:rFonts w:cstheme="minorHAnsi"/>
              </w:rPr>
              <w:t>1</w:t>
            </w:r>
          </w:p>
        </w:tc>
        <w:tc>
          <w:tcPr>
            <w:tcW w:w="1213" w:type="dxa"/>
            <w:vAlign w:val="center"/>
          </w:tcPr>
          <w:p w14:paraId="26EB7CA0" w14:textId="59179857" w:rsidR="005803D4" w:rsidRPr="00B05853" w:rsidRDefault="005803D4" w:rsidP="00AF7ADF">
            <w:pPr>
              <w:spacing w:line="240" w:lineRule="auto"/>
              <w:jc w:val="center"/>
              <w:rPr>
                <w:rFonts w:cstheme="minorHAnsi"/>
              </w:rPr>
            </w:pPr>
            <w:r w:rsidRPr="00B05853">
              <w:rPr>
                <w:rFonts w:cstheme="minorHAnsi"/>
              </w:rPr>
              <w:t>3</w:t>
            </w:r>
          </w:p>
        </w:tc>
        <w:tc>
          <w:tcPr>
            <w:tcW w:w="858" w:type="dxa"/>
            <w:vAlign w:val="center"/>
          </w:tcPr>
          <w:p w14:paraId="3318DD31" w14:textId="1739782C" w:rsidR="005803D4" w:rsidRPr="00B05853" w:rsidRDefault="005803D4" w:rsidP="00AF7ADF">
            <w:pPr>
              <w:spacing w:line="240" w:lineRule="auto"/>
              <w:jc w:val="center"/>
              <w:rPr>
                <w:rFonts w:cstheme="minorHAnsi"/>
              </w:rPr>
            </w:pPr>
            <w:r w:rsidRPr="00B05853">
              <w:rPr>
                <w:rFonts w:cstheme="minorHAnsi"/>
              </w:rPr>
              <w:t>1</w:t>
            </w:r>
          </w:p>
        </w:tc>
        <w:tc>
          <w:tcPr>
            <w:tcW w:w="719" w:type="dxa"/>
            <w:vAlign w:val="center"/>
          </w:tcPr>
          <w:p w14:paraId="5BEA7D30" w14:textId="4AE3E940" w:rsidR="005803D4" w:rsidRPr="00B05853" w:rsidRDefault="005803D4" w:rsidP="00AF7ADF">
            <w:pPr>
              <w:spacing w:line="240" w:lineRule="auto"/>
              <w:jc w:val="center"/>
              <w:rPr>
                <w:rFonts w:cstheme="minorHAnsi"/>
              </w:rPr>
            </w:pPr>
            <w:r w:rsidRPr="00B05853">
              <w:rPr>
                <w:rFonts w:cstheme="minorHAnsi"/>
              </w:rPr>
              <w:t>8</w:t>
            </w:r>
          </w:p>
        </w:tc>
        <w:tc>
          <w:tcPr>
            <w:tcW w:w="719" w:type="dxa"/>
            <w:vAlign w:val="center"/>
          </w:tcPr>
          <w:p w14:paraId="4DD172DA" w14:textId="637B9765" w:rsidR="005803D4" w:rsidRPr="00B05853" w:rsidRDefault="005803D4" w:rsidP="00AF7ADF">
            <w:pPr>
              <w:spacing w:line="240" w:lineRule="auto"/>
              <w:jc w:val="center"/>
              <w:rPr>
                <w:rFonts w:cstheme="minorHAnsi"/>
              </w:rPr>
            </w:pPr>
            <w:r w:rsidRPr="00B05853">
              <w:rPr>
                <w:rFonts w:cstheme="minorHAnsi"/>
              </w:rPr>
              <w:t>3</w:t>
            </w:r>
          </w:p>
        </w:tc>
        <w:tc>
          <w:tcPr>
            <w:tcW w:w="826" w:type="dxa"/>
            <w:vAlign w:val="center"/>
          </w:tcPr>
          <w:p w14:paraId="772FFBEB" w14:textId="45C34A94" w:rsidR="005803D4" w:rsidRPr="00B05853" w:rsidRDefault="005803D4" w:rsidP="00AF7ADF">
            <w:pPr>
              <w:spacing w:line="240" w:lineRule="auto"/>
              <w:jc w:val="center"/>
              <w:rPr>
                <w:rFonts w:cstheme="minorHAnsi"/>
              </w:rPr>
            </w:pPr>
            <w:r w:rsidRPr="00B05853">
              <w:rPr>
                <w:rFonts w:cstheme="minorHAnsi"/>
              </w:rPr>
              <w:t>3</w:t>
            </w:r>
          </w:p>
        </w:tc>
      </w:tr>
      <w:tr w:rsidR="005803D4" w14:paraId="2BA44407" w14:textId="55802B9C" w:rsidTr="00B05853">
        <w:trPr>
          <w:jc w:val="center"/>
        </w:trPr>
        <w:tc>
          <w:tcPr>
            <w:tcW w:w="2695" w:type="dxa"/>
          </w:tcPr>
          <w:p w14:paraId="7500F015" w14:textId="5D8E1C6E" w:rsidR="005803D4" w:rsidRPr="007D1E27" w:rsidRDefault="005803D4" w:rsidP="00AF7ADF">
            <w:pPr>
              <w:spacing w:line="240" w:lineRule="auto"/>
              <w:jc w:val="both"/>
            </w:pPr>
            <w:r w:rsidRPr="007D1E27">
              <w:t>Capacidades</w:t>
            </w:r>
            <w:r w:rsidR="0002667A">
              <w:t xml:space="preserve"> </w:t>
            </w:r>
            <w:r w:rsidRPr="007D1E27">
              <w:t>institucion</w:t>
            </w:r>
            <w:r w:rsidR="0002667A">
              <w:t>ales</w:t>
            </w:r>
          </w:p>
        </w:tc>
        <w:tc>
          <w:tcPr>
            <w:tcW w:w="1214" w:type="dxa"/>
            <w:vAlign w:val="center"/>
          </w:tcPr>
          <w:p w14:paraId="4007498B" w14:textId="53F3875C" w:rsidR="005803D4" w:rsidRPr="00B05853" w:rsidRDefault="005803D4" w:rsidP="00AF7ADF">
            <w:pPr>
              <w:spacing w:line="240" w:lineRule="auto"/>
              <w:jc w:val="center"/>
              <w:rPr>
                <w:rFonts w:cstheme="minorHAnsi"/>
              </w:rPr>
            </w:pPr>
            <w:r w:rsidRPr="00B05853">
              <w:rPr>
                <w:rFonts w:cstheme="minorHAnsi"/>
              </w:rPr>
              <w:t>0</w:t>
            </w:r>
          </w:p>
        </w:tc>
        <w:tc>
          <w:tcPr>
            <w:tcW w:w="1213" w:type="dxa"/>
            <w:vAlign w:val="center"/>
          </w:tcPr>
          <w:p w14:paraId="729D3355" w14:textId="3396ECAE" w:rsidR="005803D4" w:rsidRPr="00B05853" w:rsidRDefault="005803D4" w:rsidP="00AF7ADF">
            <w:pPr>
              <w:spacing w:line="240" w:lineRule="auto"/>
              <w:jc w:val="center"/>
              <w:rPr>
                <w:rFonts w:cstheme="minorHAnsi"/>
              </w:rPr>
            </w:pPr>
            <w:r w:rsidRPr="00B05853">
              <w:rPr>
                <w:rFonts w:cstheme="minorHAnsi"/>
              </w:rPr>
              <w:t>11</w:t>
            </w:r>
          </w:p>
        </w:tc>
        <w:tc>
          <w:tcPr>
            <w:tcW w:w="858" w:type="dxa"/>
            <w:vAlign w:val="center"/>
          </w:tcPr>
          <w:p w14:paraId="13C73BEB" w14:textId="0332F26D" w:rsidR="005803D4" w:rsidRPr="00B05853" w:rsidRDefault="005803D4" w:rsidP="00AF7ADF">
            <w:pPr>
              <w:spacing w:line="240" w:lineRule="auto"/>
              <w:jc w:val="center"/>
              <w:rPr>
                <w:rFonts w:cstheme="minorHAnsi"/>
              </w:rPr>
            </w:pPr>
            <w:r w:rsidRPr="00B05853">
              <w:rPr>
                <w:rFonts w:cstheme="minorHAnsi"/>
              </w:rPr>
              <w:t>0</w:t>
            </w:r>
          </w:p>
        </w:tc>
        <w:tc>
          <w:tcPr>
            <w:tcW w:w="719" w:type="dxa"/>
            <w:vAlign w:val="center"/>
          </w:tcPr>
          <w:p w14:paraId="5D52598C" w14:textId="2B989D30" w:rsidR="005803D4" w:rsidRPr="00B05853" w:rsidRDefault="005803D4" w:rsidP="00AF7ADF">
            <w:pPr>
              <w:spacing w:line="240" w:lineRule="auto"/>
              <w:jc w:val="center"/>
              <w:rPr>
                <w:rFonts w:cstheme="minorHAnsi"/>
              </w:rPr>
            </w:pPr>
            <w:r w:rsidRPr="00B05853">
              <w:rPr>
                <w:rFonts w:cstheme="minorHAnsi"/>
              </w:rPr>
              <w:t>8</w:t>
            </w:r>
          </w:p>
        </w:tc>
        <w:tc>
          <w:tcPr>
            <w:tcW w:w="719" w:type="dxa"/>
            <w:vAlign w:val="center"/>
          </w:tcPr>
          <w:p w14:paraId="3B422C06" w14:textId="6D603B6C" w:rsidR="005803D4" w:rsidRPr="00B05853" w:rsidRDefault="005803D4" w:rsidP="00AF7ADF">
            <w:pPr>
              <w:spacing w:line="240" w:lineRule="auto"/>
              <w:jc w:val="center"/>
              <w:rPr>
                <w:rFonts w:cstheme="minorHAnsi"/>
              </w:rPr>
            </w:pPr>
            <w:r w:rsidRPr="00B05853">
              <w:rPr>
                <w:rFonts w:cstheme="minorHAnsi"/>
              </w:rPr>
              <w:t>0</w:t>
            </w:r>
          </w:p>
        </w:tc>
        <w:tc>
          <w:tcPr>
            <w:tcW w:w="826" w:type="dxa"/>
            <w:vAlign w:val="center"/>
          </w:tcPr>
          <w:p w14:paraId="749FA5B0" w14:textId="54268DBF" w:rsidR="005803D4" w:rsidRPr="00B05853" w:rsidRDefault="005803D4" w:rsidP="00AF7ADF">
            <w:pPr>
              <w:spacing w:line="240" w:lineRule="auto"/>
              <w:jc w:val="center"/>
              <w:rPr>
                <w:rFonts w:cstheme="minorHAnsi"/>
              </w:rPr>
            </w:pPr>
            <w:r w:rsidRPr="00B05853">
              <w:rPr>
                <w:rFonts w:cstheme="minorHAnsi"/>
              </w:rPr>
              <w:t>0</w:t>
            </w:r>
          </w:p>
        </w:tc>
      </w:tr>
      <w:tr w:rsidR="005803D4" w14:paraId="44B73B26" w14:textId="2CFBB723" w:rsidTr="00B05853">
        <w:trPr>
          <w:jc w:val="center"/>
        </w:trPr>
        <w:tc>
          <w:tcPr>
            <w:tcW w:w="2695" w:type="dxa"/>
          </w:tcPr>
          <w:p w14:paraId="00E112D3" w14:textId="44650476" w:rsidR="005803D4" w:rsidRPr="007D1E27" w:rsidRDefault="005803D4" w:rsidP="00AF7ADF">
            <w:pPr>
              <w:spacing w:line="240" w:lineRule="auto"/>
              <w:jc w:val="both"/>
            </w:pPr>
            <w:r w:rsidRPr="007D1E27">
              <w:t>Colaboración/redes</w:t>
            </w:r>
          </w:p>
        </w:tc>
        <w:tc>
          <w:tcPr>
            <w:tcW w:w="1214" w:type="dxa"/>
            <w:vAlign w:val="center"/>
          </w:tcPr>
          <w:p w14:paraId="559BD276" w14:textId="409CBBC0" w:rsidR="005803D4" w:rsidRPr="00B05853" w:rsidRDefault="005803D4" w:rsidP="00AF7ADF">
            <w:pPr>
              <w:spacing w:line="240" w:lineRule="auto"/>
              <w:jc w:val="center"/>
              <w:rPr>
                <w:rFonts w:cstheme="minorHAnsi"/>
              </w:rPr>
            </w:pPr>
            <w:r w:rsidRPr="00B05853">
              <w:rPr>
                <w:rFonts w:cstheme="minorHAnsi"/>
              </w:rPr>
              <w:t>1</w:t>
            </w:r>
          </w:p>
        </w:tc>
        <w:tc>
          <w:tcPr>
            <w:tcW w:w="1213" w:type="dxa"/>
            <w:vAlign w:val="center"/>
          </w:tcPr>
          <w:p w14:paraId="55E5E058" w14:textId="4002A6A7" w:rsidR="005803D4" w:rsidRPr="00B05853" w:rsidRDefault="005803D4" w:rsidP="00AF7ADF">
            <w:pPr>
              <w:spacing w:line="240" w:lineRule="auto"/>
              <w:jc w:val="center"/>
              <w:rPr>
                <w:rFonts w:cstheme="minorHAnsi"/>
              </w:rPr>
            </w:pPr>
            <w:r w:rsidRPr="00B05853">
              <w:rPr>
                <w:rFonts w:cstheme="minorHAnsi"/>
              </w:rPr>
              <w:t>2</w:t>
            </w:r>
          </w:p>
        </w:tc>
        <w:tc>
          <w:tcPr>
            <w:tcW w:w="858" w:type="dxa"/>
            <w:vAlign w:val="center"/>
          </w:tcPr>
          <w:p w14:paraId="6EDC6F5A" w14:textId="548AF924" w:rsidR="005803D4" w:rsidRPr="00B05853" w:rsidRDefault="005803D4" w:rsidP="00AF7ADF">
            <w:pPr>
              <w:spacing w:line="240" w:lineRule="auto"/>
              <w:jc w:val="center"/>
              <w:rPr>
                <w:rFonts w:cstheme="minorHAnsi"/>
              </w:rPr>
            </w:pPr>
            <w:r w:rsidRPr="00B05853">
              <w:rPr>
                <w:rFonts w:cstheme="minorHAnsi"/>
              </w:rPr>
              <w:t>1</w:t>
            </w:r>
          </w:p>
        </w:tc>
        <w:tc>
          <w:tcPr>
            <w:tcW w:w="719" w:type="dxa"/>
            <w:vAlign w:val="center"/>
          </w:tcPr>
          <w:p w14:paraId="19A8B24E" w14:textId="18D302E5" w:rsidR="005803D4" w:rsidRPr="00B05853" w:rsidRDefault="005803D4" w:rsidP="00AF7ADF">
            <w:pPr>
              <w:spacing w:line="240" w:lineRule="auto"/>
              <w:jc w:val="center"/>
              <w:rPr>
                <w:rFonts w:cstheme="minorHAnsi"/>
              </w:rPr>
            </w:pPr>
            <w:r w:rsidRPr="00B05853">
              <w:rPr>
                <w:rFonts w:cstheme="minorHAnsi"/>
              </w:rPr>
              <w:t>7</w:t>
            </w:r>
          </w:p>
        </w:tc>
        <w:tc>
          <w:tcPr>
            <w:tcW w:w="719" w:type="dxa"/>
            <w:vAlign w:val="center"/>
          </w:tcPr>
          <w:p w14:paraId="77CD0F4F" w14:textId="1FD499CB" w:rsidR="005803D4" w:rsidRPr="00B05853" w:rsidRDefault="005803D4" w:rsidP="00AF7ADF">
            <w:pPr>
              <w:spacing w:line="240" w:lineRule="auto"/>
              <w:jc w:val="center"/>
              <w:rPr>
                <w:rFonts w:cstheme="minorHAnsi"/>
              </w:rPr>
            </w:pPr>
            <w:r w:rsidRPr="00B05853">
              <w:rPr>
                <w:rFonts w:cstheme="minorHAnsi"/>
              </w:rPr>
              <w:t>4</w:t>
            </w:r>
          </w:p>
        </w:tc>
        <w:tc>
          <w:tcPr>
            <w:tcW w:w="826" w:type="dxa"/>
            <w:vAlign w:val="center"/>
          </w:tcPr>
          <w:p w14:paraId="10D133A7" w14:textId="6618BDEA" w:rsidR="005803D4" w:rsidRPr="00B05853" w:rsidRDefault="005803D4" w:rsidP="00AF7ADF">
            <w:pPr>
              <w:spacing w:line="240" w:lineRule="auto"/>
              <w:jc w:val="center"/>
              <w:rPr>
                <w:rFonts w:cstheme="minorHAnsi"/>
              </w:rPr>
            </w:pPr>
            <w:r w:rsidRPr="00B05853">
              <w:rPr>
                <w:rFonts w:cstheme="minorHAnsi"/>
              </w:rPr>
              <w:t>3</w:t>
            </w:r>
          </w:p>
        </w:tc>
      </w:tr>
      <w:tr w:rsidR="005803D4" w14:paraId="3E1FBC11" w14:textId="4D39CBD7" w:rsidTr="00B05853">
        <w:trPr>
          <w:jc w:val="center"/>
        </w:trPr>
        <w:tc>
          <w:tcPr>
            <w:tcW w:w="2695" w:type="dxa"/>
          </w:tcPr>
          <w:p w14:paraId="7D8DD31E" w14:textId="627EB828" w:rsidR="005803D4" w:rsidRPr="007D1E27" w:rsidRDefault="005803D4" w:rsidP="00AF7ADF">
            <w:pPr>
              <w:spacing w:line="240" w:lineRule="auto"/>
              <w:jc w:val="both"/>
            </w:pPr>
            <w:r w:rsidRPr="007D1E27">
              <w:t>Digital/TIC</w:t>
            </w:r>
          </w:p>
        </w:tc>
        <w:tc>
          <w:tcPr>
            <w:tcW w:w="1214" w:type="dxa"/>
            <w:vAlign w:val="center"/>
          </w:tcPr>
          <w:p w14:paraId="44E93084" w14:textId="57DB7ABB" w:rsidR="005803D4" w:rsidRPr="00B05853" w:rsidRDefault="005803D4" w:rsidP="00AF7ADF">
            <w:pPr>
              <w:spacing w:line="240" w:lineRule="auto"/>
              <w:jc w:val="center"/>
              <w:rPr>
                <w:rFonts w:cstheme="minorHAnsi"/>
              </w:rPr>
            </w:pPr>
            <w:r w:rsidRPr="00B05853">
              <w:rPr>
                <w:rFonts w:cstheme="minorHAnsi"/>
              </w:rPr>
              <w:t>0</w:t>
            </w:r>
          </w:p>
        </w:tc>
        <w:tc>
          <w:tcPr>
            <w:tcW w:w="1213" w:type="dxa"/>
            <w:vAlign w:val="center"/>
          </w:tcPr>
          <w:p w14:paraId="40F7134A" w14:textId="40C02D88" w:rsidR="005803D4" w:rsidRPr="00B05853" w:rsidRDefault="005803D4" w:rsidP="00AF7ADF">
            <w:pPr>
              <w:spacing w:line="240" w:lineRule="auto"/>
              <w:jc w:val="center"/>
              <w:rPr>
                <w:rFonts w:cstheme="minorHAnsi"/>
              </w:rPr>
            </w:pPr>
            <w:r w:rsidRPr="00B05853">
              <w:rPr>
                <w:rFonts w:cstheme="minorHAnsi"/>
              </w:rPr>
              <w:t>2</w:t>
            </w:r>
          </w:p>
        </w:tc>
        <w:tc>
          <w:tcPr>
            <w:tcW w:w="858" w:type="dxa"/>
            <w:vAlign w:val="center"/>
          </w:tcPr>
          <w:p w14:paraId="61ABE7D4" w14:textId="7284C719" w:rsidR="005803D4" w:rsidRPr="00B05853" w:rsidRDefault="005803D4" w:rsidP="00AF7ADF">
            <w:pPr>
              <w:spacing w:line="240" w:lineRule="auto"/>
              <w:jc w:val="center"/>
              <w:rPr>
                <w:rFonts w:cstheme="minorHAnsi"/>
              </w:rPr>
            </w:pPr>
            <w:r w:rsidRPr="00B05853">
              <w:rPr>
                <w:rFonts w:cstheme="minorHAnsi"/>
              </w:rPr>
              <w:t>0</w:t>
            </w:r>
          </w:p>
        </w:tc>
        <w:tc>
          <w:tcPr>
            <w:tcW w:w="719" w:type="dxa"/>
            <w:vAlign w:val="center"/>
          </w:tcPr>
          <w:p w14:paraId="1AE9AA14" w14:textId="7222D777" w:rsidR="005803D4" w:rsidRPr="00B05853" w:rsidRDefault="005803D4" w:rsidP="00AF7ADF">
            <w:pPr>
              <w:spacing w:line="240" w:lineRule="auto"/>
              <w:jc w:val="center"/>
              <w:rPr>
                <w:rFonts w:cstheme="minorHAnsi"/>
              </w:rPr>
            </w:pPr>
            <w:r w:rsidRPr="00B05853">
              <w:rPr>
                <w:rFonts w:cstheme="minorHAnsi"/>
              </w:rPr>
              <w:t>9</w:t>
            </w:r>
          </w:p>
        </w:tc>
        <w:tc>
          <w:tcPr>
            <w:tcW w:w="719" w:type="dxa"/>
            <w:vAlign w:val="center"/>
          </w:tcPr>
          <w:p w14:paraId="112E70A0" w14:textId="3A1CC874" w:rsidR="005803D4" w:rsidRPr="00B05853" w:rsidRDefault="005803D4" w:rsidP="00AF7ADF">
            <w:pPr>
              <w:spacing w:line="240" w:lineRule="auto"/>
              <w:jc w:val="center"/>
              <w:rPr>
                <w:rFonts w:cstheme="minorHAnsi"/>
              </w:rPr>
            </w:pPr>
            <w:r w:rsidRPr="00B05853">
              <w:rPr>
                <w:rFonts w:cstheme="minorHAnsi"/>
              </w:rPr>
              <w:t>4</w:t>
            </w:r>
          </w:p>
        </w:tc>
        <w:tc>
          <w:tcPr>
            <w:tcW w:w="826" w:type="dxa"/>
            <w:vAlign w:val="center"/>
          </w:tcPr>
          <w:p w14:paraId="3DA355CF" w14:textId="5E3A9891" w:rsidR="005803D4" w:rsidRPr="00B05853" w:rsidRDefault="005803D4" w:rsidP="00AF7ADF">
            <w:pPr>
              <w:spacing w:line="240" w:lineRule="auto"/>
              <w:jc w:val="center"/>
              <w:rPr>
                <w:rFonts w:cstheme="minorHAnsi"/>
              </w:rPr>
            </w:pPr>
            <w:r w:rsidRPr="00B05853">
              <w:rPr>
                <w:rFonts w:cstheme="minorHAnsi"/>
              </w:rPr>
              <w:t>1</w:t>
            </w:r>
          </w:p>
        </w:tc>
      </w:tr>
      <w:tr w:rsidR="005803D4" w14:paraId="41235439" w14:textId="6E6C790A" w:rsidTr="00B05853">
        <w:trPr>
          <w:jc w:val="center"/>
        </w:trPr>
        <w:tc>
          <w:tcPr>
            <w:tcW w:w="2695" w:type="dxa"/>
          </w:tcPr>
          <w:p w14:paraId="5064A7ED" w14:textId="0362DCC9" w:rsidR="005803D4" w:rsidRPr="007D1E27" w:rsidRDefault="005803D4" w:rsidP="00AF7ADF">
            <w:pPr>
              <w:spacing w:line="240" w:lineRule="auto"/>
              <w:jc w:val="both"/>
            </w:pPr>
            <w:r w:rsidRPr="007D1E27">
              <w:t>Sostenibilidad/social</w:t>
            </w:r>
          </w:p>
        </w:tc>
        <w:tc>
          <w:tcPr>
            <w:tcW w:w="1214" w:type="dxa"/>
            <w:vAlign w:val="center"/>
          </w:tcPr>
          <w:p w14:paraId="408AFF7F" w14:textId="1A004ACD" w:rsidR="005803D4" w:rsidRPr="00B05853" w:rsidRDefault="005803D4" w:rsidP="00AF7ADF">
            <w:pPr>
              <w:spacing w:line="240" w:lineRule="auto"/>
              <w:jc w:val="center"/>
              <w:rPr>
                <w:rFonts w:cstheme="minorHAnsi"/>
              </w:rPr>
            </w:pPr>
            <w:r w:rsidRPr="00B05853">
              <w:rPr>
                <w:rFonts w:cstheme="minorHAnsi"/>
              </w:rPr>
              <w:t>0</w:t>
            </w:r>
          </w:p>
        </w:tc>
        <w:tc>
          <w:tcPr>
            <w:tcW w:w="1213" w:type="dxa"/>
            <w:vAlign w:val="center"/>
          </w:tcPr>
          <w:p w14:paraId="2F788128" w14:textId="279FA495" w:rsidR="005803D4" w:rsidRPr="00B05853" w:rsidRDefault="005803D4" w:rsidP="00AF7ADF">
            <w:pPr>
              <w:spacing w:line="240" w:lineRule="auto"/>
              <w:jc w:val="center"/>
              <w:rPr>
                <w:rFonts w:cstheme="minorHAnsi"/>
              </w:rPr>
            </w:pPr>
            <w:r w:rsidRPr="00B05853">
              <w:rPr>
                <w:rFonts w:cstheme="minorHAnsi"/>
              </w:rPr>
              <w:t>1</w:t>
            </w:r>
          </w:p>
        </w:tc>
        <w:tc>
          <w:tcPr>
            <w:tcW w:w="858" w:type="dxa"/>
            <w:vAlign w:val="center"/>
          </w:tcPr>
          <w:p w14:paraId="3CFFA317" w14:textId="6AD705F0" w:rsidR="005803D4" w:rsidRPr="00B05853" w:rsidRDefault="005803D4" w:rsidP="00AF7ADF">
            <w:pPr>
              <w:spacing w:line="240" w:lineRule="auto"/>
              <w:jc w:val="center"/>
              <w:rPr>
                <w:rFonts w:cstheme="minorHAnsi"/>
              </w:rPr>
            </w:pPr>
            <w:r w:rsidRPr="00B05853">
              <w:rPr>
                <w:rFonts w:cstheme="minorHAnsi"/>
              </w:rPr>
              <w:t>1</w:t>
            </w:r>
          </w:p>
        </w:tc>
        <w:tc>
          <w:tcPr>
            <w:tcW w:w="719" w:type="dxa"/>
            <w:vAlign w:val="center"/>
          </w:tcPr>
          <w:p w14:paraId="36206EBD" w14:textId="47806A05" w:rsidR="005803D4" w:rsidRPr="00B05853" w:rsidRDefault="005803D4" w:rsidP="00AF7ADF">
            <w:pPr>
              <w:spacing w:line="240" w:lineRule="auto"/>
              <w:jc w:val="center"/>
              <w:rPr>
                <w:rFonts w:cstheme="minorHAnsi"/>
              </w:rPr>
            </w:pPr>
            <w:r w:rsidRPr="00B05853">
              <w:rPr>
                <w:rFonts w:cstheme="minorHAnsi"/>
              </w:rPr>
              <w:t>10</w:t>
            </w:r>
          </w:p>
        </w:tc>
        <w:tc>
          <w:tcPr>
            <w:tcW w:w="719" w:type="dxa"/>
            <w:vAlign w:val="center"/>
          </w:tcPr>
          <w:p w14:paraId="15452A25" w14:textId="7D42DD75" w:rsidR="005803D4" w:rsidRPr="00B05853" w:rsidRDefault="005803D4" w:rsidP="00AF7ADF">
            <w:pPr>
              <w:spacing w:line="240" w:lineRule="auto"/>
              <w:jc w:val="center"/>
              <w:rPr>
                <w:rFonts w:cstheme="minorHAnsi"/>
              </w:rPr>
            </w:pPr>
            <w:r w:rsidRPr="00B05853">
              <w:rPr>
                <w:rFonts w:cstheme="minorHAnsi"/>
              </w:rPr>
              <w:t>2</w:t>
            </w:r>
          </w:p>
        </w:tc>
        <w:tc>
          <w:tcPr>
            <w:tcW w:w="826" w:type="dxa"/>
            <w:vAlign w:val="center"/>
          </w:tcPr>
          <w:p w14:paraId="196E8CFC" w14:textId="08FBD55C" w:rsidR="005803D4" w:rsidRPr="00B05853" w:rsidRDefault="005803D4" w:rsidP="00AF7ADF">
            <w:pPr>
              <w:spacing w:line="240" w:lineRule="auto"/>
              <w:jc w:val="center"/>
              <w:rPr>
                <w:rFonts w:cstheme="minorHAnsi"/>
              </w:rPr>
            </w:pPr>
            <w:r w:rsidRPr="00B05853">
              <w:rPr>
                <w:rFonts w:cstheme="minorHAnsi"/>
              </w:rPr>
              <w:t>4</w:t>
            </w:r>
          </w:p>
        </w:tc>
      </w:tr>
      <w:tr w:rsidR="005803D4" w14:paraId="57C36C7D" w14:textId="234FC426" w:rsidTr="00B05853">
        <w:trPr>
          <w:jc w:val="center"/>
        </w:trPr>
        <w:tc>
          <w:tcPr>
            <w:tcW w:w="2695" w:type="dxa"/>
          </w:tcPr>
          <w:p w14:paraId="73C0F6C6" w14:textId="7F25DBCF" w:rsidR="005803D4" w:rsidRPr="007D1E27" w:rsidRDefault="005803D4" w:rsidP="00AF7ADF">
            <w:pPr>
              <w:spacing w:line="240" w:lineRule="auto"/>
              <w:jc w:val="both"/>
            </w:pPr>
            <w:r w:rsidRPr="007D1E27">
              <w:t>Mercado/impacto económico</w:t>
            </w:r>
          </w:p>
        </w:tc>
        <w:tc>
          <w:tcPr>
            <w:tcW w:w="1214" w:type="dxa"/>
            <w:vAlign w:val="center"/>
          </w:tcPr>
          <w:p w14:paraId="4CC80C14" w14:textId="754C0CC1" w:rsidR="005803D4" w:rsidRPr="00B05853" w:rsidRDefault="00B05853" w:rsidP="00AF7ADF">
            <w:pPr>
              <w:spacing w:line="240" w:lineRule="auto"/>
              <w:jc w:val="center"/>
              <w:rPr>
                <w:rFonts w:cstheme="minorHAnsi"/>
              </w:rPr>
            </w:pPr>
            <w:r w:rsidRPr="00B05853">
              <w:rPr>
                <w:rFonts w:cstheme="minorHAnsi"/>
              </w:rPr>
              <w:t>0</w:t>
            </w:r>
          </w:p>
        </w:tc>
        <w:tc>
          <w:tcPr>
            <w:tcW w:w="1213" w:type="dxa"/>
            <w:vAlign w:val="center"/>
          </w:tcPr>
          <w:p w14:paraId="318448BD" w14:textId="3279AA5E" w:rsidR="005803D4" w:rsidRPr="00B05853" w:rsidRDefault="005803D4" w:rsidP="00AF7ADF">
            <w:pPr>
              <w:spacing w:line="240" w:lineRule="auto"/>
              <w:jc w:val="center"/>
              <w:rPr>
                <w:rFonts w:cstheme="minorHAnsi"/>
              </w:rPr>
            </w:pPr>
            <w:r w:rsidRPr="00B05853">
              <w:rPr>
                <w:rFonts w:cstheme="minorHAnsi"/>
              </w:rPr>
              <w:t>4</w:t>
            </w:r>
          </w:p>
        </w:tc>
        <w:tc>
          <w:tcPr>
            <w:tcW w:w="858" w:type="dxa"/>
            <w:vAlign w:val="center"/>
          </w:tcPr>
          <w:p w14:paraId="3AE73C99" w14:textId="560BABC4" w:rsidR="005803D4" w:rsidRPr="00B05853" w:rsidRDefault="005803D4" w:rsidP="00AF7ADF">
            <w:pPr>
              <w:spacing w:line="240" w:lineRule="auto"/>
              <w:jc w:val="center"/>
              <w:rPr>
                <w:rFonts w:cstheme="minorHAnsi"/>
              </w:rPr>
            </w:pPr>
            <w:r w:rsidRPr="00B05853">
              <w:rPr>
                <w:rFonts w:cstheme="minorHAnsi"/>
              </w:rPr>
              <w:t>0</w:t>
            </w:r>
          </w:p>
        </w:tc>
        <w:tc>
          <w:tcPr>
            <w:tcW w:w="719" w:type="dxa"/>
            <w:vAlign w:val="center"/>
          </w:tcPr>
          <w:p w14:paraId="540C8D6D" w14:textId="7C85A654" w:rsidR="005803D4" w:rsidRPr="00B05853" w:rsidRDefault="005803D4" w:rsidP="00AF7ADF">
            <w:pPr>
              <w:spacing w:line="240" w:lineRule="auto"/>
              <w:jc w:val="center"/>
              <w:rPr>
                <w:rFonts w:cstheme="minorHAnsi"/>
              </w:rPr>
            </w:pPr>
            <w:r w:rsidRPr="00B05853">
              <w:rPr>
                <w:rFonts w:cstheme="minorHAnsi"/>
              </w:rPr>
              <w:t>42</w:t>
            </w:r>
          </w:p>
        </w:tc>
        <w:tc>
          <w:tcPr>
            <w:tcW w:w="719" w:type="dxa"/>
            <w:vAlign w:val="center"/>
          </w:tcPr>
          <w:p w14:paraId="009A7242" w14:textId="0936D11C" w:rsidR="005803D4" w:rsidRPr="00B05853" w:rsidRDefault="005803D4" w:rsidP="00AF7ADF">
            <w:pPr>
              <w:spacing w:line="240" w:lineRule="auto"/>
              <w:jc w:val="center"/>
              <w:rPr>
                <w:rFonts w:cstheme="minorHAnsi"/>
              </w:rPr>
            </w:pPr>
            <w:r w:rsidRPr="00B05853">
              <w:rPr>
                <w:rFonts w:cstheme="minorHAnsi"/>
              </w:rPr>
              <w:t>9</w:t>
            </w:r>
          </w:p>
        </w:tc>
        <w:tc>
          <w:tcPr>
            <w:tcW w:w="826" w:type="dxa"/>
            <w:vAlign w:val="center"/>
          </w:tcPr>
          <w:p w14:paraId="401DF16B" w14:textId="4034E65D" w:rsidR="005803D4" w:rsidRPr="00B05853" w:rsidRDefault="005803D4" w:rsidP="00AF7ADF">
            <w:pPr>
              <w:spacing w:line="240" w:lineRule="auto"/>
              <w:jc w:val="center"/>
              <w:rPr>
                <w:rFonts w:cstheme="minorHAnsi"/>
              </w:rPr>
            </w:pPr>
            <w:r w:rsidRPr="00B05853">
              <w:rPr>
                <w:rFonts w:cstheme="minorHAnsi"/>
              </w:rPr>
              <w:t>4</w:t>
            </w:r>
          </w:p>
        </w:tc>
      </w:tr>
    </w:tbl>
    <w:p w14:paraId="1C87A6DC" w14:textId="46ACDAAE" w:rsidR="00345A0A" w:rsidRDefault="00B05853" w:rsidP="00AF7ADF">
      <w:pPr>
        <w:spacing w:after="0" w:line="240" w:lineRule="auto"/>
        <w:jc w:val="both"/>
        <w:rPr>
          <w:rFonts w:ascii="Arial" w:hAnsi="Arial" w:cs="Arial"/>
          <w:b/>
          <w:bCs/>
          <w:sz w:val="20"/>
          <w:szCs w:val="20"/>
        </w:rPr>
      </w:pPr>
      <w:r>
        <w:rPr>
          <w:rFonts w:ascii="Arial" w:hAnsi="Arial" w:cs="Arial"/>
          <w:b/>
          <w:bCs/>
          <w:sz w:val="20"/>
          <w:szCs w:val="20"/>
        </w:rPr>
        <w:t>Fuente: Elaboración propia</w:t>
      </w:r>
    </w:p>
    <w:p w14:paraId="4EA0DB20" w14:textId="3983B350" w:rsidR="00DB61EC" w:rsidRDefault="00DB61EC" w:rsidP="00AF7ADF">
      <w:pPr>
        <w:spacing w:after="0" w:line="240" w:lineRule="auto"/>
        <w:jc w:val="both"/>
        <w:rPr>
          <w:rFonts w:ascii="Arial" w:hAnsi="Arial" w:cs="Arial"/>
          <w:sz w:val="24"/>
          <w:szCs w:val="24"/>
        </w:rPr>
      </w:pPr>
      <w:r w:rsidRPr="00DB61EC">
        <w:rPr>
          <w:rFonts w:ascii="Arial" w:hAnsi="Arial" w:cs="Arial"/>
          <w:sz w:val="24"/>
          <w:szCs w:val="24"/>
        </w:rPr>
        <w:t xml:space="preserve">El análisis de distribución </w:t>
      </w:r>
      <w:r>
        <w:rPr>
          <w:rFonts w:ascii="Arial" w:hAnsi="Arial" w:cs="Arial"/>
          <w:sz w:val="24"/>
          <w:szCs w:val="24"/>
        </w:rPr>
        <w:t xml:space="preserve">general </w:t>
      </w:r>
      <w:r w:rsidRPr="00DB61EC">
        <w:rPr>
          <w:rFonts w:ascii="Arial" w:hAnsi="Arial" w:cs="Arial"/>
          <w:sz w:val="24"/>
          <w:szCs w:val="24"/>
        </w:rPr>
        <w:t>según la naturaleza del indicador revela que los sistemas de medición mantienen una lógica predominantemente lineal</w:t>
      </w:r>
      <w:r>
        <w:rPr>
          <w:rFonts w:ascii="Arial" w:hAnsi="Arial" w:cs="Arial"/>
          <w:sz w:val="24"/>
          <w:szCs w:val="24"/>
        </w:rPr>
        <w:t>, recursos- resultados, donde los indicadores de entrada (38,5%) representan 4 de cada 10 indicadores</w:t>
      </w:r>
      <w:r w:rsidR="00AA1EC6">
        <w:rPr>
          <w:rFonts w:ascii="Arial" w:hAnsi="Arial" w:cs="Arial"/>
          <w:sz w:val="24"/>
          <w:szCs w:val="24"/>
        </w:rPr>
        <w:t xml:space="preserve">, mientras las capacidades (10.9%), impactos (13.8%) y procesos (6.5%) en </w:t>
      </w:r>
      <w:r w:rsidR="00AA1EC6">
        <w:rPr>
          <w:rFonts w:ascii="Arial" w:hAnsi="Arial" w:cs="Arial"/>
          <w:sz w:val="24"/>
          <w:szCs w:val="24"/>
        </w:rPr>
        <w:lastRenderedPageBreak/>
        <w:t xml:space="preserve">conjunto evidencian una transición hacia modelos más sistémicos donde la innovación se comienza a entender como un fenómeno </w:t>
      </w:r>
      <w:r w:rsidR="003919F7">
        <w:rPr>
          <w:rFonts w:ascii="Arial" w:hAnsi="Arial" w:cs="Arial"/>
          <w:sz w:val="24"/>
          <w:szCs w:val="24"/>
        </w:rPr>
        <w:t>más</w:t>
      </w:r>
      <w:r w:rsidR="00AA1EC6">
        <w:rPr>
          <w:rFonts w:ascii="Arial" w:hAnsi="Arial" w:cs="Arial"/>
          <w:sz w:val="24"/>
          <w:szCs w:val="24"/>
        </w:rPr>
        <w:t xml:space="preserve"> multidimensional.</w:t>
      </w:r>
    </w:p>
    <w:p w14:paraId="135BE8F2" w14:textId="181C6EEC" w:rsidR="003919F7" w:rsidRDefault="003919F7" w:rsidP="00AF7ADF">
      <w:pPr>
        <w:spacing w:after="120" w:line="240" w:lineRule="auto"/>
        <w:jc w:val="both"/>
        <w:rPr>
          <w:rFonts w:ascii="Arial" w:hAnsi="Arial" w:cs="Arial"/>
          <w:sz w:val="24"/>
          <w:szCs w:val="24"/>
        </w:rPr>
      </w:pPr>
      <w:r>
        <w:rPr>
          <w:rFonts w:ascii="Arial" w:hAnsi="Arial" w:cs="Arial"/>
          <w:sz w:val="24"/>
          <w:szCs w:val="24"/>
        </w:rPr>
        <w:t>Por otro lado, la comparación permite identificar tres generaciones metodológicas: una basada en capacidades científicas (Manual de Frascati) donde predomina la lógica inversión en I+D y producción científica; la segunda, innovación empresarial y sistemas nacionales (Manual de Oslo, EIS, CITMA), evidencia un cambio hacia entender como las organizaciones generan, adoptan y utilizan el conocimiento para innovar; y por último, una tercera generación con índices multidimensionales contemporáneos (GII) donde la innovación se interpreta como un ecosistema, ya que presenta la mayor amplitud factorial del conjunto.</w:t>
      </w:r>
    </w:p>
    <w:p w14:paraId="44C85046" w14:textId="41866AF1" w:rsidR="000300A3" w:rsidRDefault="000300A3" w:rsidP="00AF7ADF">
      <w:pPr>
        <w:spacing w:line="240" w:lineRule="auto"/>
        <w:jc w:val="both"/>
        <w:rPr>
          <w:rFonts w:ascii="Arial" w:hAnsi="Arial" w:cs="Arial"/>
          <w:sz w:val="24"/>
          <w:szCs w:val="24"/>
          <w:lang w:val="es-CU"/>
        </w:rPr>
      </w:pPr>
      <w:r w:rsidRPr="000300A3">
        <w:rPr>
          <w:rFonts w:ascii="Arial" w:hAnsi="Arial" w:cs="Arial"/>
          <w:sz w:val="24"/>
          <w:szCs w:val="24"/>
        </w:rPr>
        <w:t xml:space="preserve">Adicionalmente, el análisis </w:t>
      </w:r>
      <w:r w:rsidRPr="000300A3">
        <w:rPr>
          <w:rFonts w:ascii="Arial" w:hAnsi="Arial" w:cs="Arial"/>
          <w:sz w:val="24"/>
          <w:szCs w:val="24"/>
          <w:lang w:val="es-CU"/>
        </w:rPr>
        <w:t>de indicadores capaces de capturar la convergencia entre</w:t>
      </w:r>
      <w:r>
        <w:rPr>
          <w:rFonts w:ascii="Arial" w:hAnsi="Arial" w:cs="Arial"/>
          <w:sz w:val="24"/>
          <w:szCs w:val="24"/>
          <w:lang w:val="es-CU"/>
        </w:rPr>
        <w:t xml:space="preserve"> innovación, sostenibilidad e </w:t>
      </w:r>
      <w:r w:rsidR="00634F56">
        <w:rPr>
          <w:rFonts w:ascii="Arial" w:hAnsi="Arial" w:cs="Arial"/>
          <w:sz w:val="24"/>
          <w:szCs w:val="24"/>
          <w:lang w:val="es-CU"/>
        </w:rPr>
        <w:t>IA</w:t>
      </w:r>
      <w:r>
        <w:rPr>
          <w:rFonts w:ascii="Arial" w:hAnsi="Arial" w:cs="Arial"/>
          <w:sz w:val="24"/>
          <w:szCs w:val="24"/>
          <w:lang w:val="es-CU"/>
        </w:rPr>
        <w:t xml:space="preserve"> ponen de manifiesto una agenda muy insipiente. La presencia directa de indicadores digitales es de solamente un 6.1% </w:t>
      </w:r>
      <w:r w:rsidR="0011096F">
        <w:rPr>
          <w:rFonts w:ascii="Arial" w:hAnsi="Arial" w:cs="Arial"/>
          <w:sz w:val="24"/>
          <w:szCs w:val="24"/>
          <w:lang w:val="es-CU"/>
        </w:rPr>
        <w:t>apareciendo en marcos recientes</w:t>
      </w:r>
      <w:r>
        <w:rPr>
          <w:rFonts w:ascii="Arial" w:hAnsi="Arial" w:cs="Arial"/>
          <w:sz w:val="24"/>
          <w:szCs w:val="24"/>
          <w:lang w:val="es-CU"/>
        </w:rPr>
        <w:t xml:space="preserve"> (GII 1</w:t>
      </w:r>
      <w:r w:rsidR="0011096F">
        <w:rPr>
          <w:rFonts w:ascii="Arial" w:hAnsi="Arial" w:cs="Arial"/>
          <w:sz w:val="24"/>
          <w:szCs w:val="24"/>
          <w:lang w:val="es-CU"/>
        </w:rPr>
        <w:t>1</w:t>
      </w:r>
      <w:r>
        <w:rPr>
          <w:rFonts w:ascii="Arial" w:hAnsi="Arial" w:cs="Arial"/>
          <w:sz w:val="24"/>
          <w:szCs w:val="24"/>
          <w:lang w:val="es-CU"/>
        </w:rPr>
        <w:t>.</w:t>
      </w:r>
      <w:r w:rsidR="0011096F">
        <w:rPr>
          <w:rFonts w:ascii="Arial" w:hAnsi="Arial" w:cs="Arial"/>
          <w:sz w:val="24"/>
          <w:szCs w:val="24"/>
          <w:lang w:val="es-CU"/>
        </w:rPr>
        <w:t>5</w:t>
      </w:r>
      <w:r>
        <w:rPr>
          <w:rFonts w:ascii="Arial" w:hAnsi="Arial" w:cs="Arial"/>
          <w:sz w:val="24"/>
          <w:szCs w:val="24"/>
          <w:lang w:val="es-CU"/>
        </w:rPr>
        <w:t>%, EIS 12.5%, Oslo 3.7%, CITMA 1.8%)</w:t>
      </w:r>
      <w:r w:rsidR="0011096F">
        <w:rPr>
          <w:rFonts w:ascii="Arial" w:hAnsi="Arial" w:cs="Arial"/>
          <w:sz w:val="24"/>
          <w:szCs w:val="24"/>
          <w:lang w:val="es-CU"/>
        </w:rPr>
        <w:t>, especialmente en aquellos que incluyen índices comparativos internacionales como los índices de capacidad tecnológica en GII</w:t>
      </w:r>
      <w:r w:rsidR="00AB541E">
        <w:rPr>
          <w:rFonts w:ascii="Arial" w:hAnsi="Arial" w:cs="Arial"/>
          <w:sz w:val="24"/>
          <w:szCs w:val="24"/>
          <w:lang w:val="es-CU"/>
        </w:rPr>
        <w:t xml:space="preserve"> y EIS incluye la dimensión “digitalización” propiamente. La sostenibilidad, sin embargo, se presenta como una dimensión transversal añadida en un 7.3% de los indicadores analizados (GII 12.8%, CITMA 7.0%, RICYT 5.9%, EIS 6.2% y Oslo 1.9%)</w:t>
      </w:r>
      <w:r w:rsidR="00070D06">
        <w:rPr>
          <w:rFonts w:ascii="Arial" w:hAnsi="Arial" w:cs="Arial"/>
          <w:sz w:val="24"/>
          <w:szCs w:val="24"/>
          <w:lang w:val="es-CU"/>
        </w:rPr>
        <w:t>, que refieren en su mayoría a la arista social</w:t>
      </w:r>
      <w:r w:rsidR="00634F56">
        <w:rPr>
          <w:rFonts w:ascii="Arial" w:hAnsi="Arial" w:cs="Arial"/>
          <w:sz w:val="24"/>
          <w:szCs w:val="24"/>
          <w:lang w:val="es-CU"/>
        </w:rPr>
        <w:t>, solamente GII y EIS incorporan directamente indicadores de evaluación ambiental</w:t>
      </w:r>
      <w:r w:rsidR="00070D06">
        <w:rPr>
          <w:rFonts w:ascii="Arial" w:hAnsi="Arial" w:cs="Arial"/>
          <w:sz w:val="24"/>
          <w:szCs w:val="24"/>
          <w:lang w:val="es-CU"/>
        </w:rPr>
        <w:t>.</w:t>
      </w:r>
    </w:p>
    <w:p w14:paraId="235E5AA1" w14:textId="51674291" w:rsidR="00634F56" w:rsidRDefault="00634F56" w:rsidP="00AF7ADF">
      <w:pPr>
        <w:spacing w:line="240" w:lineRule="auto"/>
        <w:jc w:val="both"/>
        <w:rPr>
          <w:rFonts w:ascii="Arial" w:hAnsi="Arial" w:cs="Arial"/>
          <w:sz w:val="24"/>
          <w:szCs w:val="24"/>
          <w:lang w:val="es-CU"/>
        </w:rPr>
      </w:pPr>
      <w:r>
        <w:rPr>
          <w:rFonts w:ascii="Arial" w:hAnsi="Arial" w:cs="Arial"/>
          <w:sz w:val="24"/>
          <w:szCs w:val="24"/>
          <w:lang w:val="es-CU"/>
        </w:rPr>
        <w:t>En cuanto a la categoría IA no se han consolidado indicadores específicos</w:t>
      </w:r>
      <w:r w:rsidR="007D412B">
        <w:rPr>
          <w:rFonts w:ascii="Arial" w:hAnsi="Arial" w:cs="Arial"/>
          <w:sz w:val="24"/>
          <w:szCs w:val="24"/>
          <w:lang w:val="es-CU"/>
        </w:rPr>
        <w:t>,</w:t>
      </w:r>
      <w:r>
        <w:rPr>
          <w:rFonts w:ascii="Arial" w:hAnsi="Arial" w:cs="Arial"/>
          <w:sz w:val="24"/>
          <w:szCs w:val="24"/>
          <w:lang w:val="es-CU"/>
        </w:rPr>
        <w:t xml:space="preserve"> </w:t>
      </w:r>
      <w:r w:rsidR="008E2C96">
        <w:rPr>
          <w:rFonts w:ascii="Arial" w:hAnsi="Arial" w:cs="Arial"/>
          <w:sz w:val="24"/>
          <w:szCs w:val="24"/>
          <w:lang w:val="es-CU"/>
        </w:rPr>
        <w:t xml:space="preserve">que cumplan el criterio estricto de IA como objeto </w:t>
      </w:r>
      <w:r w:rsidR="007D412B">
        <w:rPr>
          <w:rFonts w:ascii="Arial" w:hAnsi="Arial" w:cs="Arial"/>
          <w:sz w:val="24"/>
          <w:szCs w:val="24"/>
          <w:lang w:val="es-CU"/>
        </w:rPr>
        <w:t xml:space="preserve">de medición en el proceso de innovación, </w:t>
      </w:r>
      <w:r>
        <w:rPr>
          <w:rFonts w:ascii="Arial" w:hAnsi="Arial" w:cs="Arial"/>
          <w:sz w:val="24"/>
          <w:szCs w:val="24"/>
          <w:lang w:val="es-CU"/>
        </w:rPr>
        <w:t>en ningún marco de referencia. La IA actualmente se presenta en los modelos de innovación como una variable emergente, creadora de capacidades tecnológicas transversales en el proceso</w:t>
      </w:r>
      <w:r w:rsidR="00550A58">
        <w:rPr>
          <w:rFonts w:ascii="Arial" w:hAnsi="Arial" w:cs="Arial"/>
          <w:sz w:val="24"/>
          <w:szCs w:val="24"/>
          <w:lang w:val="es-CU"/>
        </w:rPr>
        <w:t xml:space="preserve"> y como </w:t>
      </w:r>
      <w:r w:rsidR="00550A58" w:rsidRPr="00550A58">
        <w:rPr>
          <w:rFonts w:ascii="Arial" w:hAnsi="Arial" w:cs="Arial"/>
          <w:sz w:val="24"/>
          <w:szCs w:val="24"/>
          <w:lang w:val="es-CU"/>
        </w:rPr>
        <w:t>método de recolección de datos hacia fuentes digitales asistidas por IA</w:t>
      </w:r>
      <w:r w:rsidR="00550A58">
        <w:rPr>
          <w:rFonts w:ascii="Arial" w:hAnsi="Arial" w:cs="Arial"/>
          <w:sz w:val="24"/>
          <w:szCs w:val="24"/>
          <w:lang w:val="es-CU"/>
        </w:rPr>
        <w:t>. L</w:t>
      </w:r>
      <w:r>
        <w:rPr>
          <w:rFonts w:ascii="Arial" w:hAnsi="Arial" w:cs="Arial"/>
          <w:sz w:val="24"/>
          <w:szCs w:val="24"/>
          <w:lang w:val="es-CU"/>
        </w:rPr>
        <w:t>a ausencia de su medición expresa una brecha metodológica</w:t>
      </w:r>
      <w:r w:rsidR="008E2C96">
        <w:rPr>
          <w:rFonts w:ascii="Arial" w:hAnsi="Arial" w:cs="Arial"/>
          <w:sz w:val="24"/>
          <w:szCs w:val="24"/>
          <w:lang w:val="es-CU"/>
        </w:rPr>
        <w:t xml:space="preserve">, por ejemplo, el manual de </w:t>
      </w:r>
      <w:r w:rsidR="008E2C96" w:rsidRPr="008E2C96">
        <w:rPr>
          <w:rFonts w:ascii="Arial" w:hAnsi="Arial" w:cs="Arial"/>
          <w:sz w:val="24"/>
          <w:szCs w:val="24"/>
          <w:lang w:val="es-CU"/>
        </w:rPr>
        <w:t>Oslo sí reconoce la IA como una tecnología digital/analítica dentro de su marco conceptual de "innovación digital" y "capacidades digitales", pero no ha llegado a operacionalizarla como índice</w:t>
      </w:r>
      <w:r w:rsidR="008E2C96">
        <w:rPr>
          <w:rFonts w:ascii="Arial" w:hAnsi="Arial" w:cs="Arial"/>
          <w:sz w:val="24"/>
          <w:szCs w:val="24"/>
          <w:lang w:val="es-CU"/>
        </w:rPr>
        <w:t xml:space="preserve"> o </w:t>
      </w:r>
      <w:r w:rsidR="008E2C96" w:rsidRPr="008E2C96">
        <w:rPr>
          <w:rFonts w:ascii="Arial" w:hAnsi="Arial" w:cs="Arial"/>
          <w:sz w:val="24"/>
          <w:szCs w:val="24"/>
        </w:rPr>
        <w:t>el GII usa IA de forma experimental (</w:t>
      </w:r>
      <w:r w:rsidR="008E2C96" w:rsidRPr="008E2C96">
        <w:rPr>
          <w:rFonts w:ascii="Arial" w:hAnsi="Arial" w:cs="Arial"/>
          <w:sz w:val="24"/>
          <w:szCs w:val="24"/>
          <w:lang w:val="es-CU"/>
        </w:rPr>
        <w:t>iLens</w:t>
      </w:r>
      <w:r w:rsidR="008E2C96" w:rsidRPr="008E2C96">
        <w:rPr>
          <w:rFonts w:ascii="Arial" w:hAnsi="Arial" w:cs="Arial"/>
          <w:sz w:val="24"/>
          <w:szCs w:val="24"/>
        </w:rPr>
        <w:t>)</w:t>
      </w:r>
      <w:r w:rsidR="008E2C96">
        <w:rPr>
          <w:rFonts w:ascii="Arial" w:hAnsi="Arial" w:cs="Arial"/>
          <w:sz w:val="24"/>
          <w:szCs w:val="24"/>
        </w:rPr>
        <w:t xml:space="preserve"> </w:t>
      </w:r>
      <w:r w:rsidR="008E2C96" w:rsidRPr="008E2C96">
        <w:rPr>
          <w:rFonts w:ascii="Arial" w:hAnsi="Arial" w:cs="Arial"/>
          <w:sz w:val="24"/>
          <w:szCs w:val="24"/>
        </w:rPr>
        <w:t>como método exploratorio (para el propio proceso de construcción del índice), no como objeto medido dentro del ranking oficial de 78 indicadores</w:t>
      </w:r>
      <w:r w:rsidR="008E2C96">
        <w:rPr>
          <w:rFonts w:ascii="Arial" w:hAnsi="Arial" w:cs="Arial"/>
          <w:sz w:val="24"/>
          <w:szCs w:val="24"/>
        </w:rPr>
        <w:t>.</w:t>
      </w:r>
    </w:p>
    <w:p w14:paraId="1C78AF0F" w14:textId="21CC0584" w:rsidR="005B6DC1" w:rsidRDefault="005B6DC1" w:rsidP="00AF7ADF">
      <w:pPr>
        <w:spacing w:after="120" w:line="240" w:lineRule="auto"/>
        <w:jc w:val="both"/>
        <w:rPr>
          <w:rFonts w:ascii="Arial" w:hAnsi="Arial" w:cs="Arial"/>
          <w:b/>
          <w:bCs/>
          <w:sz w:val="24"/>
          <w:szCs w:val="24"/>
        </w:rPr>
      </w:pPr>
      <w:r>
        <w:rPr>
          <w:rFonts w:ascii="Arial" w:hAnsi="Arial" w:cs="Arial"/>
          <w:b/>
          <w:bCs/>
          <w:sz w:val="24"/>
          <w:szCs w:val="24"/>
        </w:rPr>
        <w:t>CONCLUSIONES</w:t>
      </w:r>
    </w:p>
    <w:p w14:paraId="3144DA69" w14:textId="16FB78D9" w:rsidR="000300A3" w:rsidRPr="008E2C96" w:rsidRDefault="000300A3" w:rsidP="00AF7ADF">
      <w:pPr>
        <w:spacing w:after="0" w:line="240" w:lineRule="auto"/>
        <w:jc w:val="both"/>
        <w:rPr>
          <w:rFonts w:ascii="Arial" w:hAnsi="Arial" w:cs="Arial"/>
          <w:sz w:val="24"/>
          <w:szCs w:val="24"/>
        </w:rPr>
      </w:pPr>
      <w:r w:rsidRPr="008E2C96">
        <w:rPr>
          <w:rFonts w:ascii="Arial" w:hAnsi="Arial" w:cs="Arial"/>
          <w:sz w:val="24"/>
          <w:szCs w:val="24"/>
        </w:rPr>
        <w:t>Desde una perspectiva estadística y epistemológica, los resultados sugieren que los sistemas de indicadores de innovación han evolucionado desde modelos predominantemente lineales, hacia arquitecturas multidimensionales y sistémicas, donde adquieren importancia las capacidades, redes, instituciones, sostenibilidad y transformación digital</w:t>
      </w:r>
      <w:r w:rsidR="00B51F1F">
        <w:rPr>
          <w:rFonts w:ascii="Arial" w:hAnsi="Arial" w:cs="Arial"/>
          <w:sz w:val="24"/>
          <w:szCs w:val="24"/>
        </w:rPr>
        <w:t>.</w:t>
      </w:r>
    </w:p>
    <w:p w14:paraId="6CB3E92D" w14:textId="017191F7" w:rsidR="003919F7" w:rsidRPr="00B51F1F" w:rsidRDefault="00B51F1F" w:rsidP="00AF7ADF">
      <w:pPr>
        <w:spacing w:after="0" w:line="240" w:lineRule="auto"/>
        <w:jc w:val="both"/>
        <w:rPr>
          <w:rFonts w:ascii="Arial" w:hAnsi="Arial" w:cs="Arial"/>
          <w:sz w:val="24"/>
          <w:szCs w:val="24"/>
        </w:rPr>
      </w:pPr>
      <w:r w:rsidRPr="00B51F1F">
        <w:rPr>
          <w:rFonts w:ascii="Arial" w:hAnsi="Arial" w:cs="Arial"/>
          <w:sz w:val="24"/>
          <w:szCs w:val="24"/>
        </w:rPr>
        <w:t>L</w:t>
      </w:r>
      <w:r w:rsidR="000300A3" w:rsidRPr="00B51F1F">
        <w:rPr>
          <w:rFonts w:ascii="Arial" w:hAnsi="Arial" w:cs="Arial"/>
          <w:sz w:val="24"/>
          <w:szCs w:val="24"/>
        </w:rPr>
        <w:t xml:space="preserve">a comparación evidencia una desalineación entre la velocidad del cambio tecnológico y la actualización de los instrumentos de medición. Mientras la innovación contemporánea incorpora inteligencia artificial, plataformas digitales y modelos sostenibles de creación de valor, los sistemas estadísticos actuales aún se estructuran principalmente alrededor de variables tradicionales </w:t>
      </w:r>
      <w:r w:rsidRPr="00B51F1F">
        <w:rPr>
          <w:rFonts w:ascii="Arial" w:hAnsi="Arial" w:cs="Arial"/>
          <w:sz w:val="24"/>
          <w:szCs w:val="24"/>
        </w:rPr>
        <w:t>que n</w:t>
      </w:r>
      <w:r w:rsidR="003919F7" w:rsidRPr="00B51F1F">
        <w:rPr>
          <w:rFonts w:ascii="Arial" w:hAnsi="Arial" w:cs="Arial"/>
          <w:sz w:val="24"/>
          <w:szCs w:val="24"/>
        </w:rPr>
        <w:t>o explica completamente la transformación del conocimiento en innovación económica o social</w:t>
      </w:r>
      <w:r w:rsidR="007D412B">
        <w:rPr>
          <w:rFonts w:ascii="Arial" w:hAnsi="Arial" w:cs="Arial"/>
          <w:sz w:val="24"/>
          <w:szCs w:val="24"/>
        </w:rPr>
        <w:t>.</w:t>
      </w:r>
    </w:p>
    <w:p w14:paraId="7F57F4C4" w14:textId="296D2A20" w:rsidR="00EA5C88" w:rsidRPr="00EA5C88" w:rsidRDefault="00EA5C88" w:rsidP="00AF7ADF">
      <w:pPr>
        <w:spacing w:after="0" w:line="240" w:lineRule="auto"/>
        <w:jc w:val="both"/>
        <w:rPr>
          <w:rFonts w:ascii="Arial" w:hAnsi="Arial" w:cs="Arial"/>
          <w:sz w:val="24"/>
          <w:szCs w:val="24"/>
        </w:rPr>
      </w:pPr>
      <w:r w:rsidRPr="00EA5C88">
        <w:rPr>
          <w:rFonts w:ascii="Arial" w:hAnsi="Arial" w:cs="Arial"/>
          <w:sz w:val="24"/>
          <w:szCs w:val="24"/>
        </w:rPr>
        <w:lastRenderedPageBreak/>
        <w:t>El marco conceptual propuesto en este artículo constituye una base teórica para orientar futuras investigaciones empíricas que exploren metodologías híbridas de evaluación de la innovación, así como para informar el diseño de políticas públicas y estrategias organizacionales sustentadas en evidencia robusta y actualizada.</w:t>
      </w:r>
    </w:p>
    <w:p w14:paraId="5A01D51E" w14:textId="1B912FBE" w:rsidR="00B51F1F" w:rsidRPr="00AF7ADF" w:rsidRDefault="005B6DC1" w:rsidP="00AF7ADF">
      <w:pPr>
        <w:spacing w:after="120" w:line="240" w:lineRule="auto"/>
        <w:jc w:val="both"/>
        <w:rPr>
          <w:rFonts w:ascii="Arial" w:hAnsi="Arial" w:cs="Arial"/>
          <w:b/>
          <w:bCs/>
          <w:sz w:val="24"/>
          <w:szCs w:val="24"/>
        </w:rPr>
      </w:pPr>
      <w:r>
        <w:rPr>
          <w:rFonts w:ascii="Arial" w:hAnsi="Arial" w:cs="Arial"/>
          <w:b/>
          <w:bCs/>
          <w:sz w:val="24"/>
          <w:szCs w:val="24"/>
        </w:rPr>
        <w:t>BIBLIOGRAFIA</w:t>
      </w:r>
    </w:p>
    <w:p w14:paraId="1359C4C1" w14:textId="77777777" w:rsidR="00B51F1F" w:rsidRPr="00B51F1F" w:rsidRDefault="00B51F1F" w:rsidP="00AF7ADF">
      <w:pPr>
        <w:pStyle w:val="Prrafodelista"/>
        <w:numPr>
          <w:ilvl w:val="0"/>
          <w:numId w:val="2"/>
        </w:numPr>
        <w:spacing w:after="120" w:line="240" w:lineRule="auto"/>
        <w:jc w:val="both"/>
        <w:rPr>
          <w:rFonts w:ascii="Arial" w:eastAsia="Calibri" w:hAnsi="Arial" w:cs="Arial"/>
          <w:kern w:val="0"/>
          <w:lang w:val="es-CU"/>
          <w14:ligatures w14:val="none"/>
        </w:rPr>
      </w:pPr>
      <w:r w:rsidRPr="00B51F1F">
        <w:rPr>
          <w:rFonts w:ascii="Arial" w:eastAsia="Calibri" w:hAnsi="Arial" w:cs="Arial"/>
          <w:kern w:val="0"/>
          <w:lang w:val="es-ES"/>
          <w14:ligatures w14:val="none"/>
        </w:rPr>
        <w:t xml:space="preserve">Asamblea Nacional del Poder Popular de la República de Cuba. (2026). </w:t>
      </w:r>
      <w:r w:rsidRPr="00B51F1F">
        <w:rPr>
          <w:rFonts w:ascii="Arial" w:eastAsia="Calibri" w:hAnsi="Arial" w:cs="Arial"/>
          <w:i/>
          <w:iCs/>
          <w:kern w:val="0"/>
          <w:lang w:val="es-ES"/>
          <w14:ligatures w14:val="none"/>
        </w:rPr>
        <w:t>Ley 182: Ley General de Ciencia, Tecnología e Innovación</w:t>
      </w:r>
      <w:r w:rsidRPr="00B51F1F">
        <w:rPr>
          <w:rFonts w:ascii="Arial" w:eastAsia="Calibri" w:hAnsi="Arial" w:cs="Arial"/>
          <w:kern w:val="0"/>
          <w:lang w:val="es-ES"/>
          <w14:ligatures w14:val="none"/>
        </w:rPr>
        <w:t xml:space="preserve">. </w:t>
      </w:r>
      <w:r w:rsidRPr="00B51F1F">
        <w:rPr>
          <w:rFonts w:ascii="Arial" w:eastAsia="Calibri" w:hAnsi="Arial" w:cs="Arial"/>
          <w:i/>
          <w:iCs/>
          <w:kern w:val="0"/>
          <w:lang w:val="es-ES"/>
          <w14:ligatures w14:val="none"/>
        </w:rPr>
        <w:t>Gaceta Oficial de la República de Cuba</w:t>
      </w:r>
      <w:r w:rsidRPr="00B51F1F">
        <w:rPr>
          <w:rFonts w:ascii="Arial" w:eastAsia="Calibri" w:hAnsi="Arial" w:cs="Arial"/>
          <w:kern w:val="0"/>
          <w:lang w:val="es-ES"/>
          <w14:ligatures w14:val="none"/>
        </w:rPr>
        <w:t xml:space="preserve">, (5), edición extraordinaria. </w:t>
      </w:r>
      <w:hyperlink r:id="rId8" w:history="1">
        <w:r w:rsidRPr="00B51F1F">
          <w:rPr>
            <w:rStyle w:val="Hipervnculo"/>
            <w:rFonts w:ascii="Arial" w:eastAsia="Calibri" w:hAnsi="Arial" w:cs="Arial"/>
            <w:kern w:val="0"/>
            <w:lang w:val="es-ES"/>
            <w14:ligatures w14:val="none"/>
          </w:rPr>
          <w:t>https://www.gacetaoficial.gob.cu/</w:t>
        </w:r>
      </w:hyperlink>
      <w:r w:rsidRPr="00B51F1F">
        <w:rPr>
          <w:rFonts w:ascii="Arial" w:eastAsia="Calibri" w:hAnsi="Arial" w:cs="Arial"/>
          <w:kern w:val="0"/>
          <w:lang w:val="es-ES"/>
          <w14:ligatures w14:val="none"/>
        </w:rPr>
        <w:t xml:space="preserve"> </w:t>
      </w:r>
    </w:p>
    <w:p w14:paraId="75DDE651" w14:textId="37319D07" w:rsidR="00B51F1F" w:rsidRDefault="00B51F1F" w:rsidP="00AF7ADF">
      <w:pPr>
        <w:pStyle w:val="Prrafodelista"/>
        <w:numPr>
          <w:ilvl w:val="0"/>
          <w:numId w:val="2"/>
        </w:numPr>
        <w:spacing w:before="120" w:after="120" w:line="240" w:lineRule="auto"/>
        <w:jc w:val="both"/>
        <w:rPr>
          <w:rFonts w:ascii="Arial" w:hAnsi="Arial" w:cs="Arial"/>
        </w:rPr>
      </w:pPr>
      <w:r w:rsidRPr="00B51F1F">
        <w:rPr>
          <w:rFonts w:ascii="Arial" w:hAnsi="Arial" w:cs="Arial"/>
        </w:rPr>
        <w:t xml:space="preserve">Comisión Europea (2026). European Innovation Scoreboard. Publications Office of the European Union. </w:t>
      </w:r>
      <w:hyperlink r:id="rId9" w:history="1">
        <w:r w:rsidR="005C4E92" w:rsidRPr="00873BAF">
          <w:rPr>
            <w:rStyle w:val="Hipervnculo"/>
            <w:rFonts w:ascii="Arial" w:hAnsi="Arial" w:cs="Arial"/>
          </w:rPr>
          <w:t>https://doi.org/10.2777/4615399</w:t>
        </w:r>
      </w:hyperlink>
    </w:p>
    <w:p w14:paraId="5CD9B932" w14:textId="491CF413" w:rsidR="00B51F1F" w:rsidRPr="00B51F1F" w:rsidRDefault="00B51F1F" w:rsidP="00AF7ADF">
      <w:pPr>
        <w:pStyle w:val="Prrafodelista"/>
        <w:numPr>
          <w:ilvl w:val="0"/>
          <w:numId w:val="2"/>
        </w:numPr>
        <w:spacing w:after="120" w:line="240" w:lineRule="auto"/>
        <w:jc w:val="both"/>
        <w:rPr>
          <w:rFonts w:ascii="Arial" w:hAnsi="Arial" w:cs="Arial"/>
        </w:rPr>
      </w:pPr>
      <w:r w:rsidRPr="00B51F1F">
        <w:rPr>
          <w:rFonts w:ascii="Arial" w:hAnsi="Arial" w:cs="Arial"/>
          <w:lang w:val="es-CU"/>
        </w:rPr>
        <w:t xml:space="preserve">Consejo de Estado de la República de Cuba. (2014). </w:t>
      </w:r>
      <w:r w:rsidRPr="00B51F1F">
        <w:rPr>
          <w:rFonts w:ascii="Arial" w:hAnsi="Arial" w:cs="Arial"/>
          <w:i/>
          <w:iCs/>
          <w:lang w:val="es-CU"/>
        </w:rPr>
        <w:t>Decreto-Ley No. 323: De las entidades de ciencia, tecnología e innovación</w:t>
      </w:r>
      <w:r w:rsidRPr="00B51F1F">
        <w:rPr>
          <w:rFonts w:ascii="Arial" w:hAnsi="Arial" w:cs="Arial"/>
          <w:lang w:val="es-CU"/>
        </w:rPr>
        <w:t>. Gaceta Oficial de la República de Cuba, No. 37 Extraordinaria.</w:t>
      </w:r>
      <w:r w:rsidR="005C4E92">
        <w:rPr>
          <w:rFonts w:ascii="Arial" w:hAnsi="Arial" w:cs="Arial"/>
          <w:lang w:val="es-CU"/>
        </w:rPr>
        <w:t xml:space="preserve"> </w:t>
      </w:r>
      <w:hyperlink r:id="rId10" w:history="1">
        <w:r w:rsidR="005C4E92" w:rsidRPr="00B51F1F">
          <w:rPr>
            <w:rStyle w:val="Hipervnculo"/>
            <w:rFonts w:ascii="Arial" w:eastAsia="Calibri" w:hAnsi="Arial" w:cs="Arial"/>
            <w:kern w:val="0"/>
            <w:lang w:val="es-ES"/>
            <w14:ligatures w14:val="none"/>
          </w:rPr>
          <w:t>https://www.gacetaoficial.gob.cu/</w:t>
        </w:r>
      </w:hyperlink>
    </w:p>
    <w:p w14:paraId="61A22289" w14:textId="297FE49C" w:rsidR="005C4E92" w:rsidRDefault="005C4E92" w:rsidP="00AF7ADF">
      <w:pPr>
        <w:pStyle w:val="Prrafodelista"/>
        <w:numPr>
          <w:ilvl w:val="0"/>
          <w:numId w:val="2"/>
        </w:numPr>
        <w:spacing w:after="120" w:line="240" w:lineRule="auto"/>
        <w:jc w:val="both"/>
        <w:rPr>
          <w:rFonts w:ascii="Arial" w:hAnsi="Arial" w:cs="Arial"/>
        </w:rPr>
      </w:pPr>
      <w:r w:rsidRPr="005C4E92">
        <w:rPr>
          <w:rFonts w:ascii="Arial" w:hAnsi="Arial" w:cs="Arial"/>
          <w:lang w:val="es-ES"/>
        </w:rPr>
        <w:t xml:space="preserve">OCDE (2015). </w:t>
      </w:r>
      <w:r w:rsidRPr="005C4E92">
        <w:rPr>
          <w:rFonts w:ascii="Arial" w:hAnsi="Arial" w:cs="Arial"/>
          <w:i/>
          <w:iCs/>
          <w:lang w:val="es-ES"/>
        </w:rPr>
        <w:t>Manual de Frascati 2015: Guía para la recopilación y presentación de información sobre la investigación y el desarrollo experimental</w:t>
      </w:r>
      <w:r w:rsidRPr="005C4E92">
        <w:rPr>
          <w:rFonts w:ascii="Arial" w:hAnsi="Arial" w:cs="Arial"/>
          <w:lang w:val="es-ES"/>
        </w:rPr>
        <w:t xml:space="preserve">. OCDE Publishing. </w:t>
      </w:r>
      <w:hyperlink r:id="rId11" w:history="1">
        <w:r w:rsidRPr="005C4E92">
          <w:rPr>
            <w:rStyle w:val="Hipervnculo"/>
            <w:rFonts w:ascii="Arial" w:hAnsi="Arial" w:cs="Arial"/>
            <w:lang w:val="es-ES"/>
          </w:rPr>
          <w:t>https://doi.org/10.1787/9789264239012-en</w:t>
        </w:r>
      </w:hyperlink>
    </w:p>
    <w:p w14:paraId="5E66F415" w14:textId="7AD945DE" w:rsidR="005C4E92" w:rsidRPr="00B51F1F" w:rsidRDefault="005C4E92" w:rsidP="00AF7ADF">
      <w:pPr>
        <w:pStyle w:val="Prrafodelista"/>
        <w:numPr>
          <w:ilvl w:val="0"/>
          <w:numId w:val="2"/>
        </w:numPr>
        <w:spacing w:after="120" w:line="240" w:lineRule="auto"/>
        <w:jc w:val="both"/>
        <w:rPr>
          <w:rFonts w:ascii="Arial" w:hAnsi="Arial" w:cs="Arial"/>
        </w:rPr>
      </w:pPr>
      <w:r w:rsidRPr="005C4E92">
        <w:rPr>
          <w:rFonts w:ascii="Arial" w:hAnsi="Arial" w:cs="Arial"/>
          <w:lang w:val="es-ES"/>
        </w:rPr>
        <w:t xml:space="preserve">OCDE/Eurostat. (2018). </w:t>
      </w:r>
      <w:r w:rsidRPr="005C4E92">
        <w:rPr>
          <w:rFonts w:ascii="Arial" w:hAnsi="Arial" w:cs="Arial"/>
          <w:i/>
          <w:iCs/>
          <w:lang w:val="es-ES"/>
        </w:rPr>
        <w:t>Manual de Oslo 2018: Guía para la recopilación, presentación de informes y utilización de datos sobre innovación</w:t>
      </w:r>
      <w:r w:rsidRPr="005C4E92">
        <w:rPr>
          <w:rFonts w:ascii="Arial" w:hAnsi="Arial" w:cs="Arial"/>
          <w:lang w:val="es-ES"/>
        </w:rPr>
        <w:t xml:space="preserve"> (4.ª ed.). OCDE Publishing/Eurostat. </w:t>
      </w:r>
      <w:hyperlink r:id="rId12" w:history="1">
        <w:r w:rsidRPr="005C4E92">
          <w:rPr>
            <w:rStyle w:val="Hipervnculo"/>
            <w:rFonts w:ascii="Arial" w:hAnsi="Arial" w:cs="Arial"/>
            <w:lang w:val="es-ES"/>
          </w:rPr>
          <w:t>https://doi.org/10.1787/9789264304604-en</w:t>
        </w:r>
      </w:hyperlink>
    </w:p>
    <w:p w14:paraId="22CBA83E" w14:textId="69012908" w:rsidR="00B51F1F" w:rsidRPr="00B51F1F" w:rsidRDefault="00CF4618" w:rsidP="00AF7ADF">
      <w:pPr>
        <w:pStyle w:val="Prrafodelista"/>
        <w:numPr>
          <w:ilvl w:val="0"/>
          <w:numId w:val="2"/>
        </w:numPr>
        <w:spacing w:after="120" w:line="240" w:lineRule="auto"/>
        <w:jc w:val="both"/>
        <w:rPr>
          <w:rFonts w:ascii="Arial" w:hAnsi="Arial" w:cs="Arial"/>
        </w:rPr>
      </w:pPr>
      <w:r w:rsidRPr="00B51F1F">
        <w:rPr>
          <w:rFonts w:ascii="Arial" w:eastAsia="Times New Roman" w:hAnsi="Arial" w:cs="Arial"/>
        </w:rPr>
        <w:t>Organization</w:t>
      </w:r>
      <w:r w:rsidR="00B51F1F" w:rsidRPr="00B51F1F">
        <w:rPr>
          <w:rFonts w:ascii="Arial" w:eastAsia="Times New Roman" w:hAnsi="Arial" w:cs="Arial"/>
        </w:rPr>
        <w:t xml:space="preserve"> for Economic Co-operation and Development, &amp; Eurostat. (2018). Oslo manual 2018: Guidelines for collecting, reporting and using data on innovation (4th ed.). OECD Publishing/Eurostat. </w:t>
      </w:r>
      <w:hyperlink r:id="rId13" w:history="1">
        <w:r w:rsidR="00B51F1F" w:rsidRPr="00B51F1F">
          <w:rPr>
            <w:rStyle w:val="Hipervnculo"/>
            <w:rFonts w:ascii="Arial" w:eastAsia="Times New Roman" w:hAnsi="Arial" w:cs="Arial"/>
          </w:rPr>
          <w:t>https://doi.org/10.1787/9789264304604-en</w:t>
        </w:r>
      </w:hyperlink>
    </w:p>
    <w:p w14:paraId="7A022039" w14:textId="77777777" w:rsidR="00B51F1F" w:rsidRPr="00B51F1F" w:rsidRDefault="00B51F1F" w:rsidP="00AF7ADF">
      <w:pPr>
        <w:pStyle w:val="Prrafodelista"/>
        <w:numPr>
          <w:ilvl w:val="0"/>
          <w:numId w:val="2"/>
        </w:numPr>
        <w:spacing w:after="120" w:line="240" w:lineRule="auto"/>
        <w:jc w:val="both"/>
        <w:rPr>
          <w:rFonts w:ascii="Arial" w:eastAsia="Calibri" w:hAnsi="Arial" w:cs="Arial"/>
          <w:kern w:val="0"/>
          <w:lang w:val="es-ES"/>
          <w14:ligatures w14:val="none"/>
        </w:rPr>
      </w:pPr>
      <w:r w:rsidRPr="00B51F1F">
        <w:rPr>
          <w:rFonts w:ascii="Arial" w:hAnsi="Arial" w:cs="Arial"/>
          <w:lang w:val="es-CU"/>
        </w:rPr>
        <w:t>RICYT</w:t>
      </w:r>
      <w:r w:rsidRPr="00B51F1F">
        <w:rPr>
          <w:rFonts w:ascii="Arial" w:eastAsia="Calibri" w:hAnsi="Arial" w:cs="Arial"/>
          <w:kern w:val="0"/>
          <w:lang w:val="es-ES"/>
          <w14:ligatures w14:val="none"/>
        </w:rPr>
        <w:t xml:space="preserve"> (2025). </w:t>
      </w:r>
      <w:r w:rsidRPr="00B51F1F">
        <w:rPr>
          <w:rFonts w:ascii="Arial" w:eastAsia="Calibri" w:hAnsi="Arial" w:cs="Arial"/>
          <w:i/>
          <w:iCs/>
          <w:kern w:val="0"/>
          <w:lang w:val="es-ES"/>
          <w14:ligatures w14:val="none"/>
        </w:rPr>
        <w:t>El Estado de la Ciencia 2025: Principales indicadores de ciencia y tecnología iberoamericanos/interamericanos</w:t>
      </w:r>
      <w:r w:rsidRPr="00B51F1F">
        <w:rPr>
          <w:rFonts w:ascii="Arial" w:eastAsia="Calibri" w:hAnsi="Arial" w:cs="Arial"/>
          <w:kern w:val="0"/>
          <w:lang w:val="es-ES"/>
          <w14:ligatures w14:val="none"/>
        </w:rPr>
        <w:t>. Organización de Estados Iberoamericanos (OEI) &amp; UNESCO.</w:t>
      </w:r>
    </w:p>
    <w:p w14:paraId="3E9B1268" w14:textId="77777777" w:rsidR="00B51F1F" w:rsidRPr="00B51F1F" w:rsidRDefault="00B51F1F" w:rsidP="00AF7ADF">
      <w:pPr>
        <w:pStyle w:val="Prrafodelista"/>
        <w:numPr>
          <w:ilvl w:val="0"/>
          <w:numId w:val="2"/>
        </w:numPr>
        <w:spacing w:after="120" w:line="240" w:lineRule="auto"/>
        <w:jc w:val="both"/>
        <w:rPr>
          <w:rFonts w:ascii="Arial" w:hAnsi="Arial" w:cs="Arial"/>
        </w:rPr>
      </w:pPr>
      <w:r w:rsidRPr="00B51F1F">
        <w:rPr>
          <w:rFonts w:ascii="Arial" w:hAnsi="Arial" w:cs="Arial"/>
        </w:rPr>
        <w:t xml:space="preserve">Rothwell, R. (1994). Towards the fifth-generation innovation process. </w:t>
      </w:r>
      <w:r w:rsidRPr="00B51F1F">
        <w:rPr>
          <w:rFonts w:ascii="Arial" w:hAnsi="Arial" w:cs="Arial"/>
          <w:i/>
          <w:iCs/>
        </w:rPr>
        <w:t>International Marketing Review</w:t>
      </w:r>
      <w:r w:rsidRPr="00B51F1F">
        <w:rPr>
          <w:rFonts w:ascii="Arial" w:hAnsi="Arial" w:cs="Arial"/>
        </w:rPr>
        <w:t xml:space="preserve">, 11(1), 7-31. </w:t>
      </w:r>
      <w:hyperlink r:id="rId14" w:history="1">
        <w:r w:rsidRPr="00B51F1F">
          <w:rPr>
            <w:rStyle w:val="Hipervnculo"/>
            <w:rFonts w:ascii="Arial" w:hAnsi="Arial" w:cs="Arial"/>
          </w:rPr>
          <w:t>https://doi.org/10.1108/02651339410057491</w:t>
        </w:r>
      </w:hyperlink>
    </w:p>
    <w:p w14:paraId="5E1E089B" w14:textId="77777777" w:rsidR="00B51F1F" w:rsidRPr="00B51F1F" w:rsidRDefault="00B51F1F" w:rsidP="00AF7ADF">
      <w:pPr>
        <w:pStyle w:val="Prrafodelista"/>
        <w:numPr>
          <w:ilvl w:val="0"/>
          <w:numId w:val="2"/>
        </w:numPr>
        <w:tabs>
          <w:tab w:val="left" w:pos="360"/>
        </w:tabs>
        <w:spacing w:before="120" w:after="120" w:line="240" w:lineRule="auto"/>
        <w:jc w:val="both"/>
        <w:rPr>
          <w:rFonts w:ascii="Arial" w:hAnsi="Arial" w:cs="Arial"/>
          <w:lang w:val="es-ES_tradnl"/>
        </w:rPr>
      </w:pPr>
      <w:r w:rsidRPr="00B51F1F">
        <w:rPr>
          <w:rFonts w:ascii="Arial" w:hAnsi="Arial" w:cs="Arial"/>
          <w:lang w:val="es-ES_tradnl"/>
        </w:rPr>
        <w:t xml:space="preserve">Sancho, R. (2002). Indicadores de los Sistemas de Ciencia, Tecnología e Innovación. </w:t>
      </w:r>
      <w:r w:rsidRPr="00B51F1F">
        <w:rPr>
          <w:rFonts w:ascii="Arial" w:hAnsi="Arial" w:cs="Arial"/>
          <w:i/>
          <w:iCs/>
          <w:lang w:val="es-ES_tradnl"/>
        </w:rPr>
        <w:t>Revista Economía Industrial</w:t>
      </w:r>
      <w:r w:rsidRPr="00B51F1F">
        <w:rPr>
          <w:rFonts w:ascii="Arial" w:hAnsi="Arial" w:cs="Arial"/>
          <w:lang w:val="es-ES_tradnl"/>
        </w:rPr>
        <w:t xml:space="preserve">, 1 (343). </w:t>
      </w:r>
      <w:hyperlink r:id="rId15" w:history="1">
        <w:r w:rsidRPr="00B51F1F">
          <w:rPr>
            <w:rStyle w:val="Hipervnculo"/>
            <w:rFonts w:ascii="Arial" w:hAnsi="Arial" w:cs="Arial"/>
            <w:lang w:val="es-ES"/>
          </w:rPr>
          <w:t>https://dialnet.unirioja.es/servlet/articulo?codigo=306200</w:t>
        </w:r>
      </w:hyperlink>
    </w:p>
    <w:p w14:paraId="413D0092" w14:textId="77777777" w:rsidR="00B51F1F" w:rsidRPr="00B51F1F" w:rsidRDefault="00B51F1F" w:rsidP="00AF7ADF">
      <w:pPr>
        <w:pStyle w:val="Prrafodelista"/>
        <w:numPr>
          <w:ilvl w:val="0"/>
          <w:numId w:val="2"/>
        </w:numPr>
        <w:spacing w:after="120" w:line="240" w:lineRule="auto"/>
        <w:jc w:val="both"/>
        <w:rPr>
          <w:rFonts w:ascii="Arial" w:eastAsia="Calibri" w:hAnsi="Arial" w:cs="Arial"/>
          <w:b/>
          <w:bCs/>
          <w:kern w:val="0"/>
          <w14:ligatures w14:val="none"/>
        </w:rPr>
      </w:pPr>
      <w:r w:rsidRPr="00B51F1F">
        <w:rPr>
          <w:rFonts w:ascii="Arial" w:eastAsia="Calibri" w:hAnsi="Arial" w:cs="Arial"/>
        </w:rPr>
        <w:t xml:space="preserve">Stundziene, A., Pilinkiene, V., Vilkas, A., Grybauskas, A., &amp; Lukauskas, A. (2024). </w:t>
      </w:r>
      <w:r w:rsidRPr="00B51F1F">
        <w:rPr>
          <w:rFonts w:ascii="Arial" w:eastAsia="Calibri" w:hAnsi="Arial" w:cs="Arial"/>
          <w:kern w:val="0"/>
          <w14:ligatures w14:val="none"/>
        </w:rPr>
        <w:t>The challenge of measuring innovation types: A systematic literature review</w:t>
      </w:r>
      <w:r w:rsidRPr="00B51F1F">
        <w:rPr>
          <w:rFonts w:ascii="Arial" w:eastAsia="Calibri" w:hAnsi="Arial" w:cs="Arial"/>
        </w:rPr>
        <w:t xml:space="preserve">. </w:t>
      </w:r>
      <w:r w:rsidRPr="00B51F1F">
        <w:rPr>
          <w:rFonts w:ascii="Arial" w:eastAsia="Calibri" w:hAnsi="Arial" w:cs="Arial"/>
          <w:i/>
          <w:iCs/>
        </w:rPr>
        <w:t>Journal of Innovation &amp; Knowledge</w:t>
      </w:r>
      <w:r w:rsidRPr="00B51F1F">
        <w:rPr>
          <w:rFonts w:ascii="Arial" w:eastAsia="Calibri" w:hAnsi="Arial" w:cs="Arial"/>
        </w:rPr>
        <w:t xml:space="preserve">, 9 (4), 1-18. </w:t>
      </w:r>
      <w:hyperlink r:id="rId16" w:history="1">
        <w:r w:rsidRPr="00B51F1F">
          <w:rPr>
            <w:rStyle w:val="Hipervnculo"/>
            <w:rFonts w:ascii="Arial" w:eastAsia="Calibri" w:hAnsi="Arial" w:cs="Arial"/>
          </w:rPr>
          <w:t>https://doi.org/10.1016/j.jik.2024.100620</w:t>
        </w:r>
      </w:hyperlink>
    </w:p>
    <w:p w14:paraId="5C4BA7D8" w14:textId="60F93997" w:rsidR="00B51F1F" w:rsidRDefault="00B51F1F" w:rsidP="00AF7ADF">
      <w:pPr>
        <w:pStyle w:val="Prrafodelista"/>
        <w:numPr>
          <w:ilvl w:val="0"/>
          <w:numId w:val="2"/>
        </w:numPr>
        <w:spacing w:after="120" w:line="240" w:lineRule="auto"/>
        <w:jc w:val="both"/>
        <w:rPr>
          <w:rFonts w:ascii="Arial" w:hAnsi="Arial" w:cs="Arial"/>
        </w:rPr>
      </w:pPr>
      <w:r w:rsidRPr="00B51F1F">
        <w:rPr>
          <w:rFonts w:ascii="Arial" w:hAnsi="Arial" w:cs="Arial"/>
        </w:rPr>
        <w:t xml:space="preserve">Szymanska, E., &amp; Berbel-Pineda, J. M. (2024). Innovation processes: from linear models to artificial intelligence. </w:t>
      </w:r>
      <w:r w:rsidRPr="00B51F1F">
        <w:rPr>
          <w:rFonts w:ascii="Arial" w:hAnsi="Arial" w:cs="Arial"/>
          <w:i/>
          <w:iCs/>
        </w:rPr>
        <w:t>Engineering Management in Production and Services</w:t>
      </w:r>
      <w:r w:rsidRPr="00B51F1F">
        <w:rPr>
          <w:rFonts w:ascii="Arial" w:hAnsi="Arial" w:cs="Arial"/>
        </w:rPr>
        <w:t xml:space="preserve">, 16(3), 15-28. </w:t>
      </w:r>
      <w:hyperlink r:id="rId17" w:history="1">
        <w:r w:rsidR="00AF7ADF" w:rsidRPr="00873BAF">
          <w:rPr>
            <w:rStyle w:val="Hipervnculo"/>
            <w:rFonts w:ascii="Arial" w:hAnsi="Arial" w:cs="Arial"/>
          </w:rPr>
          <w:t>https://doi.org/10.2478/emj-2024-0021</w:t>
        </w:r>
      </w:hyperlink>
    </w:p>
    <w:p w14:paraId="5D72FC42" w14:textId="77777777" w:rsidR="00B51F1F" w:rsidRPr="00B51F1F" w:rsidRDefault="00B51F1F" w:rsidP="00AF7ADF">
      <w:pPr>
        <w:pStyle w:val="Prrafodelista"/>
        <w:numPr>
          <w:ilvl w:val="0"/>
          <w:numId w:val="2"/>
        </w:numPr>
        <w:spacing w:after="120" w:line="240" w:lineRule="auto"/>
        <w:jc w:val="both"/>
        <w:rPr>
          <w:rFonts w:ascii="Arial" w:hAnsi="Arial" w:cs="Arial"/>
        </w:rPr>
      </w:pPr>
      <w:r w:rsidRPr="00B51F1F">
        <w:rPr>
          <w:rFonts w:ascii="Arial" w:hAnsi="Arial" w:cs="Arial"/>
          <w:lang w:val="es-CU"/>
        </w:rPr>
        <w:t xml:space="preserve">Wiebke Dieter &amp; Wolfgang Schmitt. (2018). Una Revisión de la Literatura sobre el Proceso de Innovación. </w:t>
      </w:r>
      <w:r w:rsidRPr="00B51F1F">
        <w:rPr>
          <w:rFonts w:ascii="Arial" w:hAnsi="Arial" w:cs="Arial"/>
          <w:i/>
          <w:iCs/>
        </w:rPr>
        <w:t>East African Scholars Journal of Economics, Business and Management</w:t>
      </w:r>
      <w:r w:rsidRPr="00B51F1F">
        <w:rPr>
          <w:rFonts w:ascii="Arial" w:hAnsi="Arial" w:cs="Arial"/>
        </w:rPr>
        <w:t xml:space="preserve">, 1(3), 64-71. </w:t>
      </w:r>
      <w:hyperlink r:id="rId18" w:history="1">
        <w:r w:rsidRPr="00B51F1F">
          <w:rPr>
            <w:rStyle w:val="Hipervnculo"/>
            <w:rFonts w:ascii="Arial" w:hAnsi="Arial" w:cs="Arial"/>
          </w:rPr>
          <w:t>http://www.easpublisher.com/easjebm/</w:t>
        </w:r>
      </w:hyperlink>
    </w:p>
    <w:p w14:paraId="1F44544F" w14:textId="197735CE" w:rsidR="00B51F1F" w:rsidRPr="00B51F1F" w:rsidRDefault="00CF4618" w:rsidP="00AF7ADF">
      <w:pPr>
        <w:pStyle w:val="Prrafodelista"/>
        <w:numPr>
          <w:ilvl w:val="0"/>
          <w:numId w:val="2"/>
        </w:numPr>
        <w:spacing w:after="120" w:line="240" w:lineRule="auto"/>
        <w:jc w:val="both"/>
        <w:rPr>
          <w:rFonts w:ascii="Arial" w:hAnsi="Arial" w:cs="Arial"/>
        </w:rPr>
      </w:pPr>
      <w:r>
        <w:rPr>
          <w:rFonts w:ascii="Arial" w:hAnsi="Arial" w:cs="Arial"/>
        </w:rPr>
        <w:t>WIPO</w:t>
      </w:r>
      <w:r w:rsidR="00AF7ADF">
        <w:rPr>
          <w:rFonts w:ascii="Arial" w:hAnsi="Arial" w:cs="Arial"/>
        </w:rPr>
        <w:t>.</w:t>
      </w:r>
      <w:r w:rsidR="005C4E92">
        <w:rPr>
          <w:rFonts w:ascii="Arial" w:hAnsi="Arial" w:cs="Arial"/>
        </w:rPr>
        <w:t xml:space="preserve"> </w:t>
      </w:r>
      <w:r w:rsidR="00AF7ADF">
        <w:rPr>
          <w:rFonts w:ascii="Arial" w:hAnsi="Arial" w:cs="Arial"/>
        </w:rPr>
        <w:t>(</w:t>
      </w:r>
      <w:r w:rsidR="00B51F1F" w:rsidRPr="00B51F1F">
        <w:rPr>
          <w:rFonts w:ascii="Arial" w:hAnsi="Arial" w:cs="Arial"/>
        </w:rPr>
        <w:t xml:space="preserve">2025). </w:t>
      </w:r>
      <w:r w:rsidR="00B51F1F" w:rsidRPr="00B51F1F">
        <w:rPr>
          <w:rFonts w:ascii="Arial" w:hAnsi="Arial" w:cs="Arial"/>
          <w:i/>
          <w:iCs/>
        </w:rPr>
        <w:t>G</w:t>
      </w:r>
      <w:r w:rsidR="005C4E92">
        <w:rPr>
          <w:rFonts w:ascii="Arial" w:hAnsi="Arial" w:cs="Arial"/>
          <w:i/>
          <w:iCs/>
        </w:rPr>
        <w:t>II</w:t>
      </w:r>
      <w:r w:rsidR="00B51F1F" w:rsidRPr="00B51F1F">
        <w:rPr>
          <w:rFonts w:ascii="Arial" w:hAnsi="Arial" w:cs="Arial"/>
          <w:i/>
          <w:iCs/>
        </w:rPr>
        <w:t xml:space="preserve"> 2025: Appendix I – Conceptual and measurement framework of the G</w:t>
      </w:r>
      <w:r w:rsidR="005C4E92">
        <w:rPr>
          <w:rFonts w:ascii="Arial" w:hAnsi="Arial" w:cs="Arial"/>
          <w:i/>
          <w:iCs/>
        </w:rPr>
        <w:t>II</w:t>
      </w:r>
      <w:r w:rsidR="00B51F1F" w:rsidRPr="00B51F1F">
        <w:rPr>
          <w:rFonts w:ascii="Arial" w:hAnsi="Arial" w:cs="Arial"/>
        </w:rPr>
        <w:t>.</w:t>
      </w:r>
      <w:r w:rsidR="005C4E92">
        <w:rPr>
          <w:rFonts w:ascii="Arial" w:hAnsi="Arial" w:cs="Arial"/>
        </w:rPr>
        <w:t xml:space="preserve"> </w:t>
      </w:r>
      <w:hyperlink r:id="rId19" w:history="1">
        <w:r w:rsidR="00B51F1F" w:rsidRPr="00B51F1F">
          <w:rPr>
            <w:rStyle w:val="Hipervnculo"/>
            <w:rFonts w:ascii="Arial" w:hAnsi="Arial" w:cs="Arial"/>
          </w:rPr>
          <w:t>https://www.wipo.int/web-publications/global-innovation-index-2025/en/appendix-i-conceptual-and-measurement-framework-of-the-global-innovation-index.html</w:t>
        </w:r>
      </w:hyperlink>
    </w:p>
    <w:p w14:paraId="73D7A387" w14:textId="6802ED93" w:rsidR="00D9226D" w:rsidRPr="009B6919" w:rsidRDefault="00D9226D" w:rsidP="00AF7ADF">
      <w:pPr>
        <w:spacing w:after="120" w:line="240" w:lineRule="auto"/>
        <w:rPr>
          <w:lang w:val="en-US"/>
        </w:rPr>
      </w:pPr>
    </w:p>
    <w:sectPr w:rsidR="00D9226D" w:rsidRPr="009B6919" w:rsidSect="003D1623">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2B0C03"/>
    <w:multiLevelType w:val="hybridMultilevel"/>
    <w:tmpl w:val="E482040A"/>
    <w:lvl w:ilvl="0" w:tplc="761224D6">
      <w:start w:val="1"/>
      <w:numFmt w:val="bullet"/>
      <w:lvlText w:val="•"/>
      <w:lvlJc w:val="left"/>
      <w:pPr>
        <w:ind w:left="720" w:hanging="260"/>
      </w:pPr>
    </w:lvl>
    <w:lvl w:ilvl="1" w:tplc="858CC068">
      <w:numFmt w:val="decimal"/>
      <w:lvlText w:val=""/>
      <w:lvlJc w:val="left"/>
    </w:lvl>
    <w:lvl w:ilvl="2" w:tplc="D64CBC12">
      <w:numFmt w:val="decimal"/>
      <w:lvlText w:val=""/>
      <w:lvlJc w:val="left"/>
    </w:lvl>
    <w:lvl w:ilvl="3" w:tplc="8AEC2BB2">
      <w:numFmt w:val="decimal"/>
      <w:lvlText w:val=""/>
      <w:lvlJc w:val="left"/>
    </w:lvl>
    <w:lvl w:ilvl="4" w:tplc="AD6EF5B4">
      <w:numFmt w:val="decimal"/>
      <w:lvlText w:val=""/>
      <w:lvlJc w:val="left"/>
    </w:lvl>
    <w:lvl w:ilvl="5" w:tplc="C068F860">
      <w:numFmt w:val="decimal"/>
      <w:lvlText w:val=""/>
      <w:lvlJc w:val="left"/>
    </w:lvl>
    <w:lvl w:ilvl="6" w:tplc="2CB44CAE">
      <w:numFmt w:val="decimal"/>
      <w:lvlText w:val=""/>
      <w:lvlJc w:val="left"/>
    </w:lvl>
    <w:lvl w:ilvl="7" w:tplc="044E9E86">
      <w:numFmt w:val="decimal"/>
      <w:lvlText w:val=""/>
      <w:lvlJc w:val="left"/>
    </w:lvl>
    <w:lvl w:ilvl="8" w:tplc="E528BCBC">
      <w:numFmt w:val="decimal"/>
      <w:lvlText w:val=""/>
      <w:lvlJc w:val="left"/>
    </w:lvl>
  </w:abstractNum>
  <w:abstractNum w:abstractNumId="1" w15:restartNumberingAfterBreak="0">
    <w:nsid w:val="4D7E1EEE"/>
    <w:multiLevelType w:val="hybridMultilevel"/>
    <w:tmpl w:val="80442AF4"/>
    <w:lvl w:ilvl="0" w:tplc="28F0DE0E">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297867"/>
    <w:multiLevelType w:val="hybridMultilevel"/>
    <w:tmpl w:val="CE96F97A"/>
    <w:lvl w:ilvl="0" w:tplc="5C360602">
      <w:start w:val="1"/>
      <w:numFmt w:val="decimal"/>
      <w:lvlText w:val="%1."/>
      <w:lvlJc w:val="left"/>
      <w:pPr>
        <w:ind w:left="720" w:hanging="360"/>
      </w:pPr>
      <w:rPr>
        <w:rFonts w:ascii="Arial" w:hAnsi="Arial" w:cs="Arial" w:hint="default"/>
        <w:b w:val="0"/>
        <w:bCs w:val="0"/>
        <w:sz w:val="24"/>
        <w:szCs w:val="24"/>
      </w:rPr>
    </w:lvl>
    <w:lvl w:ilvl="1" w:tplc="540A0019" w:tentative="1">
      <w:start w:val="1"/>
      <w:numFmt w:val="lowerLetter"/>
      <w:lvlText w:val="%2."/>
      <w:lvlJc w:val="left"/>
      <w:pPr>
        <w:ind w:left="1440" w:hanging="360"/>
      </w:pPr>
    </w:lvl>
    <w:lvl w:ilvl="2" w:tplc="540A001B" w:tentative="1">
      <w:start w:val="1"/>
      <w:numFmt w:val="lowerRoman"/>
      <w:lvlText w:val="%3."/>
      <w:lvlJc w:val="right"/>
      <w:pPr>
        <w:ind w:left="2160" w:hanging="180"/>
      </w:pPr>
    </w:lvl>
    <w:lvl w:ilvl="3" w:tplc="540A000F" w:tentative="1">
      <w:start w:val="1"/>
      <w:numFmt w:val="decimal"/>
      <w:lvlText w:val="%4."/>
      <w:lvlJc w:val="left"/>
      <w:pPr>
        <w:ind w:left="2880" w:hanging="360"/>
      </w:pPr>
    </w:lvl>
    <w:lvl w:ilvl="4" w:tplc="540A0019" w:tentative="1">
      <w:start w:val="1"/>
      <w:numFmt w:val="lowerLetter"/>
      <w:lvlText w:val="%5."/>
      <w:lvlJc w:val="left"/>
      <w:pPr>
        <w:ind w:left="3600" w:hanging="360"/>
      </w:pPr>
    </w:lvl>
    <w:lvl w:ilvl="5" w:tplc="540A001B" w:tentative="1">
      <w:start w:val="1"/>
      <w:numFmt w:val="lowerRoman"/>
      <w:lvlText w:val="%6."/>
      <w:lvlJc w:val="right"/>
      <w:pPr>
        <w:ind w:left="4320" w:hanging="180"/>
      </w:pPr>
    </w:lvl>
    <w:lvl w:ilvl="6" w:tplc="540A000F" w:tentative="1">
      <w:start w:val="1"/>
      <w:numFmt w:val="decimal"/>
      <w:lvlText w:val="%7."/>
      <w:lvlJc w:val="left"/>
      <w:pPr>
        <w:ind w:left="5040" w:hanging="360"/>
      </w:pPr>
    </w:lvl>
    <w:lvl w:ilvl="7" w:tplc="540A0019" w:tentative="1">
      <w:start w:val="1"/>
      <w:numFmt w:val="lowerLetter"/>
      <w:lvlText w:val="%8."/>
      <w:lvlJc w:val="left"/>
      <w:pPr>
        <w:ind w:left="5760" w:hanging="360"/>
      </w:pPr>
    </w:lvl>
    <w:lvl w:ilvl="8" w:tplc="540A001B" w:tentative="1">
      <w:start w:val="1"/>
      <w:numFmt w:val="lowerRoman"/>
      <w:lvlText w:val="%9."/>
      <w:lvlJc w:val="right"/>
      <w:pPr>
        <w:ind w:left="6480" w:hanging="180"/>
      </w:pPr>
    </w:lvl>
  </w:abstractNum>
  <w:abstractNum w:abstractNumId="3" w15:restartNumberingAfterBreak="0">
    <w:nsid w:val="5C637F1F"/>
    <w:multiLevelType w:val="hybridMultilevel"/>
    <w:tmpl w:val="5EBCBC9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74F0739"/>
    <w:multiLevelType w:val="hybridMultilevel"/>
    <w:tmpl w:val="A44C798A"/>
    <w:lvl w:ilvl="0" w:tplc="1A5E0BE4">
      <w:start w:val="1"/>
      <w:numFmt w:val="bullet"/>
      <w:lvlText w:val="•"/>
      <w:lvlJc w:val="left"/>
      <w:pPr>
        <w:ind w:left="720" w:hanging="360"/>
      </w:pPr>
    </w:lvl>
    <w:lvl w:ilvl="1" w:tplc="98F22624">
      <w:numFmt w:val="decimal"/>
      <w:lvlText w:val=""/>
      <w:lvlJc w:val="left"/>
    </w:lvl>
    <w:lvl w:ilvl="2" w:tplc="B10836AA">
      <w:numFmt w:val="decimal"/>
      <w:lvlText w:val=""/>
      <w:lvlJc w:val="left"/>
    </w:lvl>
    <w:lvl w:ilvl="3" w:tplc="869A5982">
      <w:numFmt w:val="decimal"/>
      <w:lvlText w:val=""/>
      <w:lvlJc w:val="left"/>
    </w:lvl>
    <w:lvl w:ilvl="4" w:tplc="677A36F8">
      <w:numFmt w:val="decimal"/>
      <w:lvlText w:val=""/>
      <w:lvlJc w:val="left"/>
    </w:lvl>
    <w:lvl w:ilvl="5" w:tplc="2D80DFAC">
      <w:numFmt w:val="decimal"/>
      <w:lvlText w:val=""/>
      <w:lvlJc w:val="left"/>
    </w:lvl>
    <w:lvl w:ilvl="6" w:tplc="5B3EAB44">
      <w:numFmt w:val="decimal"/>
      <w:lvlText w:val=""/>
      <w:lvlJc w:val="left"/>
    </w:lvl>
    <w:lvl w:ilvl="7" w:tplc="01A460A6">
      <w:numFmt w:val="decimal"/>
      <w:lvlText w:val=""/>
      <w:lvlJc w:val="left"/>
    </w:lvl>
    <w:lvl w:ilvl="8" w:tplc="2ABA9516">
      <w:numFmt w:val="decimal"/>
      <w:lvlText w:val=""/>
      <w:lvlJc w:val="left"/>
    </w:lvl>
  </w:abstractNum>
  <w:abstractNum w:abstractNumId="5" w15:restartNumberingAfterBreak="0">
    <w:nsid w:val="698B396B"/>
    <w:multiLevelType w:val="hybridMultilevel"/>
    <w:tmpl w:val="1040B5D8"/>
    <w:lvl w:ilvl="0" w:tplc="B62EBAC8">
      <w:start w:val="1"/>
      <w:numFmt w:val="bullet"/>
      <w:lvlText w:val="•"/>
      <w:lvlJc w:val="left"/>
      <w:pPr>
        <w:ind w:left="720" w:hanging="360"/>
      </w:pPr>
    </w:lvl>
    <w:lvl w:ilvl="1" w:tplc="0644B2CE">
      <w:numFmt w:val="decimal"/>
      <w:lvlText w:val=""/>
      <w:lvlJc w:val="left"/>
    </w:lvl>
    <w:lvl w:ilvl="2" w:tplc="290073B2">
      <w:numFmt w:val="decimal"/>
      <w:lvlText w:val=""/>
      <w:lvlJc w:val="left"/>
    </w:lvl>
    <w:lvl w:ilvl="3" w:tplc="F45AB874">
      <w:numFmt w:val="decimal"/>
      <w:lvlText w:val=""/>
      <w:lvlJc w:val="left"/>
    </w:lvl>
    <w:lvl w:ilvl="4" w:tplc="EA1CF4BA">
      <w:numFmt w:val="decimal"/>
      <w:lvlText w:val=""/>
      <w:lvlJc w:val="left"/>
    </w:lvl>
    <w:lvl w:ilvl="5" w:tplc="3BE09418">
      <w:numFmt w:val="decimal"/>
      <w:lvlText w:val=""/>
      <w:lvlJc w:val="left"/>
    </w:lvl>
    <w:lvl w:ilvl="6" w:tplc="0B34173A">
      <w:numFmt w:val="decimal"/>
      <w:lvlText w:val=""/>
      <w:lvlJc w:val="left"/>
    </w:lvl>
    <w:lvl w:ilvl="7" w:tplc="83A24FCE">
      <w:numFmt w:val="decimal"/>
      <w:lvlText w:val=""/>
      <w:lvlJc w:val="left"/>
    </w:lvl>
    <w:lvl w:ilvl="8" w:tplc="F056B134">
      <w:numFmt w:val="decimal"/>
      <w:lvlText w:val=""/>
      <w:lvlJc w:val="left"/>
    </w:lvl>
  </w:abstractNum>
  <w:num w:numId="1" w16cid:durableId="1345744332">
    <w:abstractNumId w:val="5"/>
    <w:lvlOverride w:ilvl="0">
      <w:startOverride w:val="1"/>
    </w:lvlOverride>
  </w:num>
  <w:num w:numId="2" w16cid:durableId="1732732442">
    <w:abstractNumId w:val="3"/>
  </w:num>
  <w:num w:numId="3" w16cid:durableId="1341350556">
    <w:abstractNumId w:val="0"/>
    <w:lvlOverride w:ilvl="0">
      <w:startOverride w:val="1"/>
    </w:lvlOverride>
  </w:num>
  <w:num w:numId="4" w16cid:durableId="1027101933">
    <w:abstractNumId w:val="2"/>
  </w:num>
  <w:num w:numId="5" w16cid:durableId="1264648926">
    <w:abstractNumId w:val="1"/>
  </w:num>
  <w:num w:numId="6" w16cid:durableId="1916433815">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672"/>
    <w:rsid w:val="0002667A"/>
    <w:rsid w:val="000300A3"/>
    <w:rsid w:val="00037C72"/>
    <w:rsid w:val="00070D06"/>
    <w:rsid w:val="0007757B"/>
    <w:rsid w:val="00096C43"/>
    <w:rsid w:val="00097AE6"/>
    <w:rsid w:val="000B7C6B"/>
    <w:rsid w:val="000C6D0F"/>
    <w:rsid w:val="0011096F"/>
    <w:rsid w:val="00120636"/>
    <w:rsid w:val="00144CC8"/>
    <w:rsid w:val="00243913"/>
    <w:rsid w:val="0025601F"/>
    <w:rsid w:val="002A5D1A"/>
    <w:rsid w:val="002D1722"/>
    <w:rsid w:val="002D6FD2"/>
    <w:rsid w:val="00330E08"/>
    <w:rsid w:val="00345A0A"/>
    <w:rsid w:val="00377C48"/>
    <w:rsid w:val="00380A67"/>
    <w:rsid w:val="0038253C"/>
    <w:rsid w:val="003919F7"/>
    <w:rsid w:val="003B0510"/>
    <w:rsid w:val="003D1623"/>
    <w:rsid w:val="00421701"/>
    <w:rsid w:val="00424891"/>
    <w:rsid w:val="00432461"/>
    <w:rsid w:val="004422DC"/>
    <w:rsid w:val="00446075"/>
    <w:rsid w:val="004B6EC4"/>
    <w:rsid w:val="005054B7"/>
    <w:rsid w:val="00533AE0"/>
    <w:rsid w:val="005367CC"/>
    <w:rsid w:val="00550A58"/>
    <w:rsid w:val="00556DF1"/>
    <w:rsid w:val="005803D4"/>
    <w:rsid w:val="005B6DC1"/>
    <w:rsid w:val="005C4E92"/>
    <w:rsid w:val="005C7538"/>
    <w:rsid w:val="005E0B48"/>
    <w:rsid w:val="005F5989"/>
    <w:rsid w:val="006120E3"/>
    <w:rsid w:val="00634F56"/>
    <w:rsid w:val="00645D38"/>
    <w:rsid w:val="00673099"/>
    <w:rsid w:val="006740E5"/>
    <w:rsid w:val="00693E18"/>
    <w:rsid w:val="006C3A85"/>
    <w:rsid w:val="006E00E6"/>
    <w:rsid w:val="00777154"/>
    <w:rsid w:val="0079374B"/>
    <w:rsid w:val="007C3F6B"/>
    <w:rsid w:val="007C60BB"/>
    <w:rsid w:val="007D1E27"/>
    <w:rsid w:val="007D412B"/>
    <w:rsid w:val="007E79C9"/>
    <w:rsid w:val="00815AC4"/>
    <w:rsid w:val="00816D92"/>
    <w:rsid w:val="00821C6E"/>
    <w:rsid w:val="00836C91"/>
    <w:rsid w:val="00841188"/>
    <w:rsid w:val="008952C9"/>
    <w:rsid w:val="008E2C96"/>
    <w:rsid w:val="008F5522"/>
    <w:rsid w:val="009533A7"/>
    <w:rsid w:val="009B06FC"/>
    <w:rsid w:val="009B301D"/>
    <w:rsid w:val="009B6919"/>
    <w:rsid w:val="009C4573"/>
    <w:rsid w:val="00A17D8A"/>
    <w:rsid w:val="00A45C65"/>
    <w:rsid w:val="00A93505"/>
    <w:rsid w:val="00A95AF9"/>
    <w:rsid w:val="00AA1EC6"/>
    <w:rsid w:val="00AA2D7D"/>
    <w:rsid w:val="00AB541E"/>
    <w:rsid w:val="00AC307C"/>
    <w:rsid w:val="00AE73B8"/>
    <w:rsid w:val="00AF7ADF"/>
    <w:rsid w:val="00B05853"/>
    <w:rsid w:val="00B379BE"/>
    <w:rsid w:val="00B40817"/>
    <w:rsid w:val="00B51F1F"/>
    <w:rsid w:val="00B5605D"/>
    <w:rsid w:val="00BD50CB"/>
    <w:rsid w:val="00C03A52"/>
    <w:rsid w:val="00C8679B"/>
    <w:rsid w:val="00CD6ADB"/>
    <w:rsid w:val="00CE382B"/>
    <w:rsid w:val="00CF4618"/>
    <w:rsid w:val="00D15335"/>
    <w:rsid w:val="00D32705"/>
    <w:rsid w:val="00D476CE"/>
    <w:rsid w:val="00D77CCA"/>
    <w:rsid w:val="00D9226D"/>
    <w:rsid w:val="00DA5661"/>
    <w:rsid w:val="00DA7ACB"/>
    <w:rsid w:val="00DB61EC"/>
    <w:rsid w:val="00DB707E"/>
    <w:rsid w:val="00DD0112"/>
    <w:rsid w:val="00E36F32"/>
    <w:rsid w:val="00E53716"/>
    <w:rsid w:val="00EA5C88"/>
    <w:rsid w:val="00EF242B"/>
    <w:rsid w:val="00F33E11"/>
    <w:rsid w:val="00F54953"/>
    <w:rsid w:val="00F65A8D"/>
    <w:rsid w:val="00FE1A6E"/>
    <w:rsid w:val="00FF6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79FE6"/>
  <w15:chartTrackingRefBased/>
  <w15:docId w15:val="{1412EEC7-6981-4D01-9783-4DCA2364C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672"/>
    <w:pPr>
      <w:spacing w:line="259" w:lineRule="auto"/>
    </w:pPr>
    <w:rPr>
      <w:kern w:val="0"/>
      <w:sz w:val="22"/>
      <w:szCs w:val="22"/>
      <w:lang w:val="es-ES"/>
      <w14:ligatures w14:val="none"/>
    </w:rPr>
  </w:style>
  <w:style w:type="paragraph" w:styleId="Ttulo1">
    <w:name w:val="heading 1"/>
    <w:basedOn w:val="Normal"/>
    <w:next w:val="Normal"/>
    <w:link w:val="Ttulo1Car"/>
    <w:uiPriority w:val="9"/>
    <w:qFormat/>
    <w:rsid w:val="00FF6672"/>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Ttulo2">
    <w:name w:val="heading 2"/>
    <w:basedOn w:val="Normal"/>
    <w:next w:val="Normal"/>
    <w:link w:val="Ttulo2Car"/>
    <w:uiPriority w:val="9"/>
    <w:unhideWhenUsed/>
    <w:qFormat/>
    <w:rsid w:val="00FF6672"/>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Ttulo3">
    <w:name w:val="heading 3"/>
    <w:basedOn w:val="Normal"/>
    <w:next w:val="Normal"/>
    <w:link w:val="Ttulo3Car"/>
    <w:uiPriority w:val="9"/>
    <w:semiHidden/>
    <w:unhideWhenUsed/>
    <w:qFormat/>
    <w:rsid w:val="00FF6672"/>
    <w:pPr>
      <w:keepNext/>
      <w:keepLines/>
      <w:spacing w:before="160" w:after="80" w:line="278" w:lineRule="auto"/>
      <w:outlineLvl w:val="2"/>
    </w:pPr>
    <w:rPr>
      <w:rFonts w:eastAsiaTheme="majorEastAsia" w:cstheme="majorBidi"/>
      <w:color w:val="2F5496" w:themeColor="accent1" w:themeShade="BF"/>
      <w:kern w:val="2"/>
      <w:sz w:val="28"/>
      <w:szCs w:val="28"/>
      <w:lang w:val="en-US"/>
      <w14:ligatures w14:val="standardContextual"/>
    </w:rPr>
  </w:style>
  <w:style w:type="paragraph" w:styleId="Ttulo4">
    <w:name w:val="heading 4"/>
    <w:basedOn w:val="Normal"/>
    <w:next w:val="Normal"/>
    <w:link w:val="Ttulo4Car"/>
    <w:uiPriority w:val="9"/>
    <w:semiHidden/>
    <w:unhideWhenUsed/>
    <w:qFormat/>
    <w:rsid w:val="00FF6672"/>
    <w:pPr>
      <w:keepNext/>
      <w:keepLines/>
      <w:spacing w:before="80" w:after="40" w:line="278" w:lineRule="auto"/>
      <w:outlineLvl w:val="3"/>
    </w:pPr>
    <w:rPr>
      <w:rFonts w:eastAsiaTheme="majorEastAsia" w:cstheme="majorBidi"/>
      <w:i/>
      <w:iCs/>
      <w:color w:val="2F5496" w:themeColor="accent1" w:themeShade="BF"/>
      <w:kern w:val="2"/>
      <w:sz w:val="24"/>
      <w:szCs w:val="24"/>
      <w:lang w:val="en-US"/>
      <w14:ligatures w14:val="standardContextual"/>
    </w:rPr>
  </w:style>
  <w:style w:type="paragraph" w:styleId="Ttulo5">
    <w:name w:val="heading 5"/>
    <w:basedOn w:val="Normal"/>
    <w:next w:val="Normal"/>
    <w:link w:val="Ttulo5Car"/>
    <w:uiPriority w:val="9"/>
    <w:semiHidden/>
    <w:unhideWhenUsed/>
    <w:qFormat/>
    <w:rsid w:val="00FF6672"/>
    <w:pPr>
      <w:keepNext/>
      <w:keepLines/>
      <w:spacing w:before="80" w:after="40" w:line="278" w:lineRule="auto"/>
      <w:outlineLvl w:val="4"/>
    </w:pPr>
    <w:rPr>
      <w:rFonts w:eastAsiaTheme="majorEastAsia" w:cstheme="majorBidi"/>
      <w:color w:val="2F5496" w:themeColor="accent1" w:themeShade="BF"/>
      <w:kern w:val="2"/>
      <w:sz w:val="24"/>
      <w:szCs w:val="24"/>
      <w:lang w:val="en-US"/>
      <w14:ligatures w14:val="standardContextual"/>
    </w:rPr>
  </w:style>
  <w:style w:type="paragraph" w:styleId="Ttulo6">
    <w:name w:val="heading 6"/>
    <w:basedOn w:val="Normal"/>
    <w:next w:val="Normal"/>
    <w:link w:val="Ttulo6Car"/>
    <w:uiPriority w:val="9"/>
    <w:semiHidden/>
    <w:unhideWhenUsed/>
    <w:qFormat/>
    <w:rsid w:val="00FF6672"/>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Ttulo7">
    <w:name w:val="heading 7"/>
    <w:basedOn w:val="Normal"/>
    <w:next w:val="Normal"/>
    <w:link w:val="Ttulo7Car"/>
    <w:uiPriority w:val="9"/>
    <w:semiHidden/>
    <w:unhideWhenUsed/>
    <w:qFormat/>
    <w:rsid w:val="00FF6672"/>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Ttulo8">
    <w:name w:val="heading 8"/>
    <w:basedOn w:val="Normal"/>
    <w:next w:val="Normal"/>
    <w:link w:val="Ttulo8Car"/>
    <w:uiPriority w:val="9"/>
    <w:semiHidden/>
    <w:unhideWhenUsed/>
    <w:qFormat/>
    <w:rsid w:val="00FF6672"/>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Ttulo9">
    <w:name w:val="heading 9"/>
    <w:basedOn w:val="Normal"/>
    <w:next w:val="Normal"/>
    <w:link w:val="Ttulo9Car"/>
    <w:uiPriority w:val="9"/>
    <w:semiHidden/>
    <w:unhideWhenUsed/>
    <w:qFormat/>
    <w:rsid w:val="00FF6672"/>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F6672"/>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FF6672"/>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FF6672"/>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FF6672"/>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FF6672"/>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FF667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F667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F667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F6672"/>
    <w:rPr>
      <w:rFonts w:eastAsiaTheme="majorEastAsia" w:cstheme="majorBidi"/>
      <w:color w:val="272727" w:themeColor="text1" w:themeTint="D8"/>
    </w:rPr>
  </w:style>
  <w:style w:type="paragraph" w:styleId="Ttulo">
    <w:name w:val="Title"/>
    <w:basedOn w:val="Normal"/>
    <w:next w:val="Normal"/>
    <w:link w:val="TtuloCar"/>
    <w:uiPriority w:val="10"/>
    <w:qFormat/>
    <w:rsid w:val="00FF6672"/>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tuloCar">
    <w:name w:val="Título Car"/>
    <w:basedOn w:val="Fuentedeprrafopredeter"/>
    <w:link w:val="Ttulo"/>
    <w:uiPriority w:val="10"/>
    <w:rsid w:val="00FF667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F6672"/>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tuloCar">
    <w:name w:val="Subtítulo Car"/>
    <w:basedOn w:val="Fuentedeprrafopredeter"/>
    <w:link w:val="Subttulo"/>
    <w:uiPriority w:val="11"/>
    <w:rsid w:val="00FF667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F6672"/>
    <w:pPr>
      <w:spacing w:before="160" w:line="278" w:lineRule="auto"/>
      <w:jc w:val="center"/>
    </w:pPr>
    <w:rPr>
      <w:i/>
      <w:iCs/>
      <w:color w:val="404040" w:themeColor="text1" w:themeTint="BF"/>
      <w:kern w:val="2"/>
      <w:sz w:val="24"/>
      <w:szCs w:val="24"/>
      <w:lang w:val="en-US"/>
      <w14:ligatures w14:val="standardContextual"/>
    </w:rPr>
  </w:style>
  <w:style w:type="character" w:customStyle="1" w:styleId="CitaCar">
    <w:name w:val="Cita Car"/>
    <w:basedOn w:val="Fuentedeprrafopredeter"/>
    <w:link w:val="Cita"/>
    <w:uiPriority w:val="29"/>
    <w:rsid w:val="00FF6672"/>
    <w:rPr>
      <w:i/>
      <w:iCs/>
      <w:color w:val="404040" w:themeColor="text1" w:themeTint="BF"/>
    </w:rPr>
  </w:style>
  <w:style w:type="paragraph" w:styleId="Prrafodelista">
    <w:name w:val="List Paragraph"/>
    <w:basedOn w:val="Normal"/>
    <w:link w:val="PrrafodelistaCar"/>
    <w:qFormat/>
    <w:rsid w:val="00FF6672"/>
    <w:pPr>
      <w:spacing w:line="278" w:lineRule="auto"/>
      <w:ind w:left="720"/>
      <w:contextualSpacing/>
    </w:pPr>
    <w:rPr>
      <w:kern w:val="2"/>
      <w:sz w:val="24"/>
      <w:szCs w:val="24"/>
      <w:lang w:val="en-US"/>
      <w14:ligatures w14:val="standardContextual"/>
    </w:rPr>
  </w:style>
  <w:style w:type="character" w:styleId="nfasisintenso">
    <w:name w:val="Intense Emphasis"/>
    <w:basedOn w:val="Fuentedeprrafopredeter"/>
    <w:uiPriority w:val="21"/>
    <w:qFormat/>
    <w:rsid w:val="00FF6672"/>
    <w:rPr>
      <w:i/>
      <w:iCs/>
      <w:color w:val="2F5496" w:themeColor="accent1" w:themeShade="BF"/>
    </w:rPr>
  </w:style>
  <w:style w:type="paragraph" w:styleId="Citadestacada">
    <w:name w:val="Intense Quote"/>
    <w:basedOn w:val="Normal"/>
    <w:next w:val="Normal"/>
    <w:link w:val="CitadestacadaCar"/>
    <w:uiPriority w:val="30"/>
    <w:qFormat/>
    <w:rsid w:val="00FF6672"/>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US"/>
      <w14:ligatures w14:val="standardContextual"/>
    </w:rPr>
  </w:style>
  <w:style w:type="character" w:customStyle="1" w:styleId="CitadestacadaCar">
    <w:name w:val="Cita destacada Car"/>
    <w:basedOn w:val="Fuentedeprrafopredeter"/>
    <w:link w:val="Citadestacada"/>
    <w:uiPriority w:val="30"/>
    <w:rsid w:val="00FF6672"/>
    <w:rPr>
      <w:i/>
      <w:iCs/>
      <w:color w:val="2F5496" w:themeColor="accent1" w:themeShade="BF"/>
    </w:rPr>
  </w:style>
  <w:style w:type="character" w:styleId="Referenciaintensa">
    <w:name w:val="Intense Reference"/>
    <w:basedOn w:val="Fuentedeprrafopredeter"/>
    <w:uiPriority w:val="32"/>
    <w:qFormat/>
    <w:rsid w:val="00FF6672"/>
    <w:rPr>
      <w:b/>
      <w:bCs/>
      <w:smallCaps/>
      <w:color w:val="2F5496" w:themeColor="accent1" w:themeShade="BF"/>
      <w:spacing w:val="5"/>
    </w:rPr>
  </w:style>
  <w:style w:type="character" w:styleId="Hipervnculo">
    <w:name w:val="Hyperlink"/>
    <w:basedOn w:val="Fuentedeprrafopredeter"/>
    <w:uiPriority w:val="99"/>
    <w:unhideWhenUsed/>
    <w:rsid w:val="008952C9"/>
    <w:rPr>
      <w:color w:val="0563C1" w:themeColor="hyperlink"/>
      <w:u w:val="single"/>
    </w:rPr>
  </w:style>
  <w:style w:type="character" w:styleId="Mencinsinresolver">
    <w:name w:val="Unresolved Mention"/>
    <w:basedOn w:val="Fuentedeprrafopredeter"/>
    <w:uiPriority w:val="99"/>
    <w:semiHidden/>
    <w:unhideWhenUsed/>
    <w:rsid w:val="00AE73B8"/>
    <w:rPr>
      <w:color w:val="605E5C"/>
      <w:shd w:val="clear" w:color="auto" w:fill="E1DFDD"/>
    </w:rPr>
  </w:style>
  <w:style w:type="paragraph" w:styleId="HTMLconformatoprevio">
    <w:name w:val="HTML Preformatted"/>
    <w:basedOn w:val="Normal"/>
    <w:link w:val="HTMLconformatoprevioCar"/>
    <w:uiPriority w:val="99"/>
    <w:semiHidden/>
    <w:unhideWhenUsed/>
    <w:rsid w:val="00D476CE"/>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D476CE"/>
    <w:rPr>
      <w:rFonts w:ascii="Consolas" w:hAnsi="Consolas"/>
      <w:kern w:val="0"/>
      <w:sz w:val="20"/>
      <w:szCs w:val="20"/>
      <w:lang w:val="es-ES"/>
      <w14:ligatures w14:val="none"/>
    </w:rPr>
  </w:style>
  <w:style w:type="character" w:customStyle="1" w:styleId="PrrafodelistaCar">
    <w:name w:val="Párrafo de lista Car"/>
    <w:link w:val="Prrafodelista"/>
    <w:rsid w:val="00E36F32"/>
  </w:style>
  <w:style w:type="table" w:styleId="Tablaconcuadrcula">
    <w:name w:val="Table Grid"/>
    <w:basedOn w:val="Tablanormal"/>
    <w:uiPriority w:val="39"/>
    <w:rsid w:val="004B6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cetaoficial.gob.cu/" TargetMode="External"/><Relationship Id="rId13" Type="http://schemas.openxmlformats.org/officeDocument/2006/relationships/hyperlink" Target="https://doi.org/10.1787/9789264304604-en" TargetMode="External"/><Relationship Id="rId18" Type="http://schemas.openxmlformats.org/officeDocument/2006/relationships/hyperlink" Target="http://www.easpublisher.com/easjeb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yosvanyd@uclv.edu.cu" TargetMode="External"/><Relationship Id="rId12" Type="http://schemas.openxmlformats.org/officeDocument/2006/relationships/hyperlink" Target="https://doi.org/10.1787/9789264304604-en" TargetMode="External"/><Relationship Id="rId17" Type="http://schemas.openxmlformats.org/officeDocument/2006/relationships/hyperlink" Target="https://doi.org/10.2478/emj-2024-0021" TargetMode="External"/><Relationship Id="rId2" Type="http://schemas.openxmlformats.org/officeDocument/2006/relationships/styles" Target="styles.xml"/><Relationship Id="rId16" Type="http://schemas.openxmlformats.org/officeDocument/2006/relationships/hyperlink" Target="https://doi.org/10.1016/j.jik.2024.100620"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yudieskycd@uclv.edu.cu" TargetMode="External"/><Relationship Id="rId11" Type="http://schemas.openxmlformats.org/officeDocument/2006/relationships/hyperlink" Target="https://doi.org/10.1787/9789264239012-en" TargetMode="External"/><Relationship Id="rId5" Type="http://schemas.openxmlformats.org/officeDocument/2006/relationships/hyperlink" Target="mailto:gbarrios@uclv.edu.cu" TargetMode="External"/><Relationship Id="rId15" Type="http://schemas.openxmlformats.org/officeDocument/2006/relationships/hyperlink" Target="https://dialnet.unirioja.es/servlet/articulo?codigo=306200" TargetMode="External"/><Relationship Id="rId10" Type="http://schemas.openxmlformats.org/officeDocument/2006/relationships/hyperlink" Target="https://www.gacetaoficial.gob.cu/" TargetMode="External"/><Relationship Id="rId19" Type="http://schemas.openxmlformats.org/officeDocument/2006/relationships/hyperlink" Target="https://www.wipo.int/web-publications/global-innovation-index-2025/en/appendix-i-conceptual-and-measurement-framework-of-the-global-innovation-index.html" TargetMode="External"/><Relationship Id="rId4" Type="http://schemas.openxmlformats.org/officeDocument/2006/relationships/webSettings" Target="webSettings.xml"/><Relationship Id="rId9" Type="http://schemas.openxmlformats.org/officeDocument/2006/relationships/hyperlink" Target="https://doi.org/10.2777/4615399" TargetMode="External"/><Relationship Id="rId14" Type="http://schemas.openxmlformats.org/officeDocument/2006/relationships/hyperlink" Target="https://doi.org/10.1108/0265133941005749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806</TotalTime>
  <Pages>6</Pages>
  <Words>2987</Words>
  <Characters>17026</Characters>
  <Application>Microsoft Office Word</Application>
  <DocSecurity>0</DocSecurity>
  <Lines>141</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81</cp:revision>
  <dcterms:created xsi:type="dcterms:W3CDTF">2026-06-11T21:00:00Z</dcterms:created>
  <dcterms:modified xsi:type="dcterms:W3CDTF">2026-09-18T15:59:00Z</dcterms:modified>
</cp:coreProperties>
</file>